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320"/>
        <w:jc w:val="center"/>
      </w:pPr>
      <w:r>
        <w:rPr>
          <w:rFonts w:ascii="Calibri" w:hAnsi="Calibri"/>
          <w:b/>
          <w:color w:val="1467D8"/>
          <w:sz w:val="20"/>
        </w:rPr>
        <w:t>TECHNICAL REPORT</w:t>
      </w:r>
    </w:p>
    <w:p>
      <w:pPr>
        <w:spacing w:after="160"/>
        <w:jc w:val="center"/>
      </w:pPr>
      <w:r>
        <w:rPr>
          <w:rFonts w:ascii="Calibri" w:hAnsi="Calibri"/>
          <w:b/>
          <w:color w:val="172033"/>
          <w:sz w:val="64"/>
        </w:rPr>
        <w:t>SHORIR AI</w:t>
      </w:r>
    </w:p>
    <w:p>
      <w:pPr>
        <w:spacing w:after="520"/>
        <w:jc w:val="center"/>
      </w:pPr>
      <w:r>
        <w:rPr>
          <w:rFonts w:ascii="Calibri" w:hAnsi="Calibri"/>
          <w:b w:val="0"/>
          <w:color w:val="68758A"/>
          <w:sz w:val="36"/>
        </w:rPr>
        <w:t>Bangla-First Privacy-Aware Fitness Intelligence</w:t>
      </w:r>
    </w:p>
    <w:p>
      <w:pPr>
        <w:spacing w:after="760"/>
        <w:jc w:val="center"/>
      </w:pPr>
      <w:r>
        <w:drawing>
          <wp:inline xmlns:a="http://schemas.openxmlformats.org/drawingml/2006/main" xmlns:pic="http://schemas.openxmlformats.org/drawingml/2006/picture">
            <wp:extent cx="1828800" cy="2023353"/>
            <wp:docPr id="1" name="Picture 1" descr="SHORIR AI product logo"/>
            <wp:cNvGraphicFramePr>
              <a:graphicFrameLocks noChangeAspect="1"/>
            </wp:cNvGraphicFramePr>
            <a:graphic>
              <a:graphicData uri="http://schemas.openxmlformats.org/drawingml/2006/picture">
                <pic:pic>
                  <pic:nvPicPr>
                    <pic:cNvPr id="0" name="logo_nobg.png"/>
                    <pic:cNvPicPr/>
                  </pic:nvPicPr>
                  <pic:blipFill>
                    <a:blip r:embed="rId11"/>
                    <a:stretch>
                      <a:fillRect/>
                    </a:stretch>
                  </pic:blipFill>
                  <pic:spPr>
                    <a:xfrm>
                      <a:off x="0" y="0"/>
                      <a:ext cx="1828800" cy="2023353"/>
                    </a:xfrm>
                    <a:prstGeom prst="rect"/>
                  </pic:spPr>
                </pic:pic>
              </a:graphicData>
            </a:graphic>
          </wp:inline>
        </w:drawing>
      </w:r>
    </w:p>
    <w:p>
      <w:pPr>
        <w:jc w:val="center"/>
      </w:pPr>
      <w:r>
        <w:rPr>
          <w:rFonts w:ascii="Calibri" w:hAnsi="Calibri"/>
          <w:b/>
          <w:color w:val="172033"/>
          <w:sz w:val="24"/>
        </w:rPr>
        <w:t>Prepared by Team El Bracino</w:t>
      </w:r>
    </w:p>
    <w:p>
      <w:pPr>
        <w:jc w:val="center"/>
      </w:pPr>
      <w:r>
        <w:rPr>
          <w:rFonts w:ascii="Calibri" w:hAnsi="Calibri"/>
          <w:b w:val="0"/>
          <w:color w:val="68758A"/>
          <w:sz w:val="21"/>
        </w:rPr>
        <w:t>Mindsparks 26 CodeFront Challenge | AUST Innovation and Design Club</w:t>
      </w:r>
    </w:p>
    <w:p>
      <w:pPr>
        <w:jc w:val="center"/>
      </w:pPr>
      <w:r>
        <w:rPr>
          <w:rFonts w:ascii="Calibri" w:hAnsi="Calibri"/>
          <w:b w:val="0"/>
          <w:color w:val="68758A"/>
          <w:sz w:val="21"/>
        </w:rPr>
        <w:t>26 June 2026</w:t>
      </w:r>
    </w:p>
    <w:p>
      <w:r>
        <w:br w:type="page"/>
      </w:r>
    </w:p>
    <w:p>
      <w:pPr>
        <w:pStyle w:val="Heading1"/>
        <w:keepNext/>
      </w:pPr>
      <w:r>
        <w:t>Executive Summary</w:t>
      </w:r>
    </w:p>
    <w:p>
      <w:pPr>
        <w:spacing w:after="160" w:line="300" w:lineRule="auto"/>
      </w:pPr>
      <w:r>
        <w:rPr>
          <w:rFonts w:ascii="Calibri" w:hAnsi="Calibri"/>
          <w:b w:val="0"/>
          <w:color w:val="172033"/>
          <w:sz w:val="22"/>
        </w:rPr>
        <w:t>SHORIR AI is a Bangla-first fitness companion that combines browser-side pose analysis, a bilingual exercise library, personalized workout planning, Bangladeshi diet guidance, image-based calorie review, progress diagnostics, and a guided demo flow in one coordinated product.</w:t>
      </w:r>
    </w:p>
    <w:p>
      <w:pPr>
        <w:spacing w:before="100" w:after="80"/>
        <w:ind w:left="173" w:right="173"/>
        <w:shd w:fill="E9F2FF"/>
      </w:pPr>
      <w:r>
        <w:rPr>
          <w:rFonts w:ascii="Calibri" w:hAnsi="Calibri"/>
          <w:b/>
          <w:color w:val="1467D8"/>
          <w:sz w:val="18"/>
        </w:rPr>
        <w:t>CORE DESIGN DECISION</w:t>
      </w:r>
    </w:p>
    <w:p>
      <w:pPr>
        <w:spacing w:after="0" w:line="288" w:lineRule="auto"/>
        <w:ind w:left="173" w:right="173"/>
        <w:shd w:fill="E9F2FF"/>
      </w:pPr>
      <w:r>
        <w:rPr>
          <w:rFonts w:ascii="Calibri" w:hAnsi="Calibri"/>
          <w:b/>
          <w:color w:val="172033"/>
          <w:sz w:val="22"/>
        </w:rPr>
        <w:t>When pose tracking is uncertain, the system pauses and explains why. It prioritizes missed repetitions over false repetitions.</w:t>
      </w:r>
    </w:p>
    <w:p>
      <w:pPr>
        <w:spacing w:after="40"/>
      </w:pPr>
    </w:p>
    <w:p>
      <w:pPr>
        <w:spacing w:after="160" w:line="300" w:lineRule="auto"/>
      </w:pPr>
      <w:r>
        <w:rPr>
          <w:rFonts w:ascii="Calibri" w:hAnsi="Calibri"/>
          <w:b w:val="0"/>
          <w:color w:val="172033"/>
          <w:sz w:val="22"/>
        </w:rPr>
        <w:t>The system uses a React and Vite frontend, an Express API, shared TypeScript contracts, and ports-and-adapters boundaries for MediaPipe, persistence, and AI services. The refreshed interface uses compact navigation, shadcn-style local primitives, tabbed secondary detail, and a white-blue visual system with dark mode. Raw live pose video remains in the browser. Phone video uses encrypted WebRTC, with the API handling temporary signaling metadata.</w:t>
      </w:r>
    </w:p>
    <w:p>
      <w:pPr>
        <w:pStyle w:val="Heading1"/>
        <w:keepNext/>
      </w:pPr>
      <w:r>
        <w:t>1. Problem and Local Context</w:t>
      </w:r>
    </w:p>
    <w:p>
      <w:pPr>
        <w:spacing w:after="160" w:line="300" w:lineRule="auto"/>
      </w:pPr>
      <w:r>
        <w:rPr>
          <w:rFonts w:ascii="Calibri" w:hAnsi="Calibri"/>
          <w:b w:val="0"/>
          <w:color w:val="172033"/>
          <w:sz w:val="22"/>
        </w:rPr>
        <w:t>Generic fitness applications often assume English fluency, prior knowledge of exercise form, stable camera placement, and access to globally common foods. These assumptions reduce usability for beginners in Bangladesh.</w:t>
      </w:r>
    </w:p>
    <w:p>
      <w:pPr>
        <w:pStyle w:val="ListBullet"/>
        <w:spacing w:after="80" w:line="288" w:lineRule="auto"/>
      </w:pPr>
      <w:r>
        <w:rPr>
          <w:rFonts w:ascii="Calibri" w:hAnsi="Calibri"/>
          <w:b w:val="0"/>
          <w:color w:val="172033"/>
          <w:sz w:val="22"/>
        </w:rPr>
        <w:t>Beginners need direct setup, movement, depth, and safety cues.</w:t>
      </w:r>
    </w:p>
    <w:p>
      <w:pPr>
        <w:pStyle w:val="ListBullet"/>
        <w:spacing w:after="80" w:line="288" w:lineRule="auto"/>
      </w:pPr>
      <w:r>
        <w:rPr>
          <w:rFonts w:ascii="Calibri" w:hAnsi="Calibri"/>
          <w:b w:val="0"/>
          <w:color w:val="172033"/>
          <w:sz w:val="22"/>
        </w:rPr>
        <w:t>False repetition counts damage trust and can reinforce poor form.</w:t>
      </w:r>
    </w:p>
    <w:p>
      <w:pPr>
        <w:pStyle w:val="ListBullet"/>
        <w:spacing w:after="80" w:line="288" w:lineRule="auto"/>
      </w:pPr>
      <w:r>
        <w:rPr>
          <w:rFonts w:ascii="Calibri" w:hAnsi="Calibri"/>
          <w:b w:val="0"/>
          <w:color w:val="172033"/>
          <w:sz w:val="22"/>
        </w:rPr>
        <w:t>Workout, food, calorie, and progress tools are commonly fragmented.</w:t>
      </w:r>
    </w:p>
    <w:p>
      <w:pPr>
        <w:pStyle w:val="ListBullet"/>
        <w:spacing w:after="80" w:line="288" w:lineRule="auto"/>
      </w:pPr>
      <w:r>
        <w:rPr>
          <w:rFonts w:ascii="Calibri" w:hAnsi="Calibri"/>
          <w:b w:val="0"/>
          <w:color w:val="172033"/>
          <w:sz w:val="22"/>
        </w:rPr>
        <w:t>Live camera upload creates avoidable privacy and bandwidth costs.</w:t>
      </w:r>
    </w:p>
    <w:p>
      <w:pPr>
        <w:pStyle w:val="ListBullet"/>
        <w:spacing w:after="80" w:line="288" w:lineRule="auto"/>
      </w:pPr>
      <w:r>
        <w:rPr>
          <w:rFonts w:ascii="Calibri" w:hAnsi="Calibri"/>
          <w:b w:val="0"/>
          <w:color w:val="172033"/>
          <w:sz w:val="22"/>
        </w:rPr>
        <w:t>Diet guidance should recognize familiar Bangladeshi meals and portions.</w:t>
      </w:r>
    </w:p>
    <w:p>
      <w:pPr>
        <w:pStyle w:val="Heading1"/>
        <w:keepNext/>
      </w:pPr>
      <w:r>
        <w:t>2. Product Scope</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088"/>
            <w:vAlign w:val="center"/>
            <w:shd w:fill="E8EEF5"/>
            <w:tcMar>
              <w:top w:w="90" w:type="dxa"/>
              <w:start w:w="120" w:type="dxa"/>
              <w:bottom w:w="90" w:type="dxa"/>
              <w:end w:w="120" w:type="dxa"/>
            </w:tcMar>
          </w:tcPr>
          <w:p>
            <w:r>
              <w:rPr>
                <w:rFonts w:ascii="Calibri" w:hAnsi="Calibri"/>
                <w:b/>
                <w:color w:val="172033"/>
                <w:sz w:val="19"/>
              </w:rPr>
              <w:t>Module</w:t>
            </w:r>
          </w:p>
        </w:tc>
        <w:tc>
          <w:tcPr>
            <w:tcW w:type="dxa" w:w="7272"/>
            <w:vAlign w:val="center"/>
            <w:shd w:fill="E8EEF5"/>
            <w:tcMar>
              <w:top w:w="90" w:type="dxa"/>
              <w:start w:w="120" w:type="dxa"/>
              <w:bottom w:w="90" w:type="dxa"/>
              <w:end w:w="120" w:type="dxa"/>
            </w:tcMar>
          </w:tcPr>
          <w:p>
            <w:r>
              <w:rPr>
                <w:rFonts w:ascii="Calibri" w:hAnsi="Calibri"/>
                <w:b/>
                <w:color w:val="172033"/>
                <w:sz w:val="19"/>
              </w:rPr>
              <w:t>Implemented capability</w:t>
            </w:r>
          </w:p>
        </w:tc>
      </w:tr>
      <w:tr>
        <w:tc>
          <w:tcPr>
            <w:tcW w:type="dxa" w:w="2088"/>
            <w:vAlign w:val="center"/>
            <w:tcMar>
              <w:top w:w="90" w:type="dxa"/>
              <w:start w:w="120" w:type="dxa"/>
              <w:bottom w:w="90" w:type="dxa"/>
              <w:end w:w="120" w:type="dxa"/>
            </w:tcMar>
          </w:tcPr>
          <w:p>
            <w:pPr>
              <w:spacing w:after="0"/>
            </w:pPr>
            <w:r>
              <w:rPr>
                <w:rFonts w:ascii="Calibri" w:hAnsi="Calibri"/>
                <w:b w:val="0"/>
                <w:color w:val="172033"/>
                <w:sz w:val="19"/>
              </w:rPr>
              <w:t>Daily dashboard</w:t>
            </w:r>
          </w:p>
        </w:tc>
        <w:tc>
          <w:tcPr>
            <w:tcW w:type="dxa" w:w="7272"/>
            <w:vAlign w:val="center"/>
            <w:tcMar>
              <w:top w:w="90" w:type="dxa"/>
              <w:start w:w="120" w:type="dxa"/>
              <w:bottom w:w="90" w:type="dxa"/>
              <w:end w:w="120" w:type="dxa"/>
            </w:tcMar>
          </w:tcPr>
          <w:p>
            <w:pPr>
              <w:spacing w:after="0"/>
            </w:pPr>
            <w:r>
              <w:rPr>
                <w:rFonts w:ascii="Calibri" w:hAnsi="Calibri"/>
                <w:b w:val="0"/>
                <w:color w:val="172033"/>
                <w:sz w:val="19"/>
              </w:rPr>
              <w:t>Profile-aware workout plan using goals, schedule, equipment, safety flags, and recent sessions.</w:t>
            </w:r>
          </w:p>
        </w:tc>
      </w:tr>
      <w:tr>
        <w:tc>
          <w:tcPr>
            <w:tcW w:type="dxa" w:w="2088"/>
            <w:vAlign w:val="center"/>
            <w:tcMar>
              <w:top w:w="90" w:type="dxa"/>
              <w:start w:w="120" w:type="dxa"/>
              <w:bottom w:w="90" w:type="dxa"/>
              <w:end w:w="120" w:type="dxa"/>
            </w:tcMar>
          </w:tcPr>
          <w:p>
            <w:pPr>
              <w:spacing w:after="0"/>
            </w:pPr>
            <w:r>
              <w:rPr>
                <w:rFonts w:ascii="Calibri" w:hAnsi="Calibri"/>
                <w:b w:val="0"/>
                <w:color w:val="172033"/>
                <w:sz w:val="19"/>
              </w:rPr>
              <w:t>Pose Coach</w:t>
            </w:r>
          </w:p>
        </w:tc>
        <w:tc>
          <w:tcPr>
            <w:tcW w:type="dxa" w:w="7272"/>
            <w:vAlign w:val="center"/>
            <w:tcMar>
              <w:top w:w="90" w:type="dxa"/>
              <w:start w:w="120" w:type="dxa"/>
              <w:bottom w:w="90" w:type="dxa"/>
              <w:end w:w="120" w:type="dxa"/>
            </w:tcMar>
          </w:tcPr>
          <w:p>
            <w:pPr>
              <w:spacing w:after="0"/>
            </w:pPr>
            <w:r>
              <w:rPr>
                <w:rFonts w:ascii="Calibri" w:hAnsi="Calibri"/>
                <w:b w:val="0"/>
                <w:color w:val="172033"/>
                <w:sz w:val="19"/>
              </w:rPr>
              <w:t>Strict squat, push-up, and forward-lunge analysis with calibration and diagnostics.</w:t>
            </w:r>
          </w:p>
        </w:tc>
      </w:tr>
      <w:tr>
        <w:tc>
          <w:tcPr>
            <w:tcW w:type="dxa" w:w="2088"/>
            <w:vAlign w:val="center"/>
            <w:tcMar>
              <w:top w:w="90" w:type="dxa"/>
              <w:start w:w="120" w:type="dxa"/>
              <w:bottom w:w="90" w:type="dxa"/>
              <w:end w:w="120" w:type="dxa"/>
            </w:tcMar>
          </w:tcPr>
          <w:p>
            <w:pPr>
              <w:spacing w:after="0"/>
            </w:pPr>
            <w:r>
              <w:rPr>
                <w:rFonts w:ascii="Calibri" w:hAnsi="Calibri"/>
                <w:b w:val="0"/>
                <w:color w:val="172033"/>
                <w:sz w:val="19"/>
              </w:rPr>
              <w:t>Exercise library</w:t>
            </w:r>
          </w:p>
        </w:tc>
        <w:tc>
          <w:tcPr>
            <w:tcW w:type="dxa" w:w="7272"/>
            <w:vAlign w:val="center"/>
            <w:tcMar>
              <w:top w:w="90" w:type="dxa"/>
              <w:start w:w="120" w:type="dxa"/>
              <w:bottom w:w="90" w:type="dxa"/>
              <w:end w:w="120" w:type="dxa"/>
            </w:tcMar>
          </w:tcPr>
          <w:p>
            <w:pPr>
              <w:spacing w:after="0"/>
            </w:pPr>
            <w:r>
              <w:rPr>
                <w:rFonts w:ascii="Calibri" w:hAnsi="Calibri"/>
                <w:b w:val="0"/>
                <w:color w:val="172033"/>
                <w:sz w:val="19"/>
              </w:rPr>
              <w:t>Bilingual guides, filters, demonstrations, safety cues, and live-coach links.</w:t>
            </w:r>
          </w:p>
        </w:tc>
      </w:tr>
      <w:tr>
        <w:tc>
          <w:tcPr>
            <w:tcW w:type="dxa" w:w="2088"/>
            <w:vAlign w:val="center"/>
            <w:tcMar>
              <w:top w:w="90" w:type="dxa"/>
              <w:start w:w="120" w:type="dxa"/>
              <w:bottom w:w="90" w:type="dxa"/>
              <w:end w:w="120" w:type="dxa"/>
            </w:tcMar>
          </w:tcPr>
          <w:p>
            <w:pPr>
              <w:spacing w:after="0"/>
            </w:pPr>
            <w:r>
              <w:rPr>
                <w:rFonts w:ascii="Calibri" w:hAnsi="Calibri"/>
                <w:b w:val="0"/>
                <w:color w:val="172033"/>
                <w:sz w:val="19"/>
              </w:rPr>
              <w:t>Diet Chart</w:t>
            </w:r>
          </w:p>
        </w:tc>
        <w:tc>
          <w:tcPr>
            <w:tcW w:type="dxa" w:w="7272"/>
            <w:vAlign w:val="center"/>
            <w:tcMar>
              <w:top w:w="90" w:type="dxa"/>
              <w:start w:w="120" w:type="dxa"/>
              <w:bottom w:w="90" w:type="dxa"/>
              <w:end w:w="120" w:type="dxa"/>
            </w:tcMar>
          </w:tcPr>
          <w:p>
            <w:pPr>
              <w:spacing w:after="0"/>
            </w:pPr>
            <w:r>
              <w:rPr>
                <w:rFonts w:ascii="Calibri" w:hAnsi="Calibri"/>
                <w:b w:val="0"/>
                <w:color w:val="172033"/>
                <w:sz w:val="19"/>
              </w:rPr>
              <w:t>Bangladeshi meal template scaled to profile-based calorie and macro targets.</w:t>
            </w:r>
          </w:p>
        </w:tc>
      </w:tr>
      <w:tr>
        <w:tc>
          <w:tcPr>
            <w:tcW w:type="dxa" w:w="2088"/>
            <w:vAlign w:val="center"/>
            <w:tcMar>
              <w:top w:w="90" w:type="dxa"/>
              <w:start w:w="120" w:type="dxa"/>
              <w:bottom w:w="90" w:type="dxa"/>
              <w:end w:w="120" w:type="dxa"/>
            </w:tcMar>
          </w:tcPr>
          <w:p>
            <w:pPr>
              <w:spacing w:after="0"/>
            </w:pPr>
            <w:r>
              <w:rPr>
                <w:rFonts w:ascii="Calibri" w:hAnsi="Calibri"/>
                <w:b w:val="0"/>
                <w:color w:val="172033"/>
                <w:sz w:val="19"/>
              </w:rPr>
              <w:t>Calorie Check</w:t>
            </w:r>
          </w:p>
        </w:tc>
        <w:tc>
          <w:tcPr>
            <w:tcW w:type="dxa" w:w="7272"/>
            <w:vAlign w:val="center"/>
            <w:tcMar>
              <w:top w:w="90" w:type="dxa"/>
              <w:start w:w="120" w:type="dxa"/>
              <w:bottom w:w="90" w:type="dxa"/>
              <w:end w:w="120" w:type="dxa"/>
            </w:tcMar>
          </w:tcPr>
          <w:p>
            <w:pPr>
              <w:spacing w:after="0"/>
            </w:pPr>
            <w:r>
              <w:rPr>
                <w:rFonts w:ascii="Calibri" w:hAnsi="Calibri"/>
                <w:b w:val="0"/>
                <w:color w:val="172033"/>
                <w:sz w:val="19"/>
              </w:rPr>
              <w:t>Desktop upload and QR/phone capture with cautious structured meal review.</w:t>
            </w:r>
          </w:p>
        </w:tc>
      </w:tr>
      <w:tr>
        <w:tc>
          <w:tcPr>
            <w:tcW w:type="dxa" w:w="2088"/>
            <w:vAlign w:val="center"/>
            <w:tcMar>
              <w:top w:w="90" w:type="dxa"/>
              <w:start w:w="120" w:type="dxa"/>
              <w:bottom w:w="90" w:type="dxa"/>
              <w:end w:w="120" w:type="dxa"/>
            </w:tcMar>
          </w:tcPr>
          <w:p>
            <w:pPr>
              <w:spacing w:after="0"/>
            </w:pPr>
            <w:r>
              <w:rPr>
                <w:rFonts w:ascii="Calibri" w:hAnsi="Calibri"/>
                <w:b w:val="0"/>
                <w:color w:val="172033"/>
                <w:sz w:val="19"/>
              </w:rPr>
              <w:t>Progress</w:t>
            </w:r>
          </w:p>
        </w:tc>
        <w:tc>
          <w:tcPr>
            <w:tcW w:type="dxa" w:w="7272"/>
            <w:vAlign w:val="center"/>
            <w:tcMar>
              <w:top w:w="90" w:type="dxa"/>
              <w:start w:w="120" w:type="dxa"/>
              <w:bottom w:w="90" w:type="dxa"/>
              <w:end w:w="120" w:type="dxa"/>
            </w:tcMar>
          </w:tcPr>
          <w:p>
            <w:pPr>
              <w:spacing w:after="0"/>
            </w:pPr>
            <w:r>
              <w:rPr>
                <w:rFonts w:ascii="Calibri" w:hAnsi="Calibri"/>
                <w:b w:val="0"/>
                <w:color w:val="172033"/>
                <w:sz w:val="19"/>
              </w:rPr>
              <w:t>Saved sessions, review history, and detection-quality diagnostics.</w:t>
            </w:r>
          </w:p>
        </w:tc>
      </w:tr>
      <w:tr>
        <w:tc>
          <w:tcPr>
            <w:tcW w:type="dxa" w:w="2088"/>
            <w:vAlign w:val="center"/>
            <w:tcMar>
              <w:top w:w="90" w:type="dxa"/>
              <w:start w:w="120" w:type="dxa"/>
              <w:bottom w:w="90" w:type="dxa"/>
              <w:end w:w="120" w:type="dxa"/>
            </w:tcMar>
          </w:tcPr>
          <w:p>
            <w:pPr>
              <w:spacing w:after="0"/>
            </w:pPr>
            <w:r>
              <w:rPr>
                <w:rFonts w:ascii="Calibri" w:hAnsi="Calibri"/>
                <w:b w:val="0"/>
                <w:color w:val="172033"/>
                <w:sz w:val="19"/>
              </w:rPr>
              <w:t>Demo</w:t>
            </w:r>
          </w:p>
        </w:tc>
        <w:tc>
          <w:tcPr>
            <w:tcW w:type="dxa" w:w="7272"/>
            <w:vAlign w:val="center"/>
            <w:tcMar>
              <w:top w:w="90" w:type="dxa"/>
              <w:start w:w="120" w:type="dxa"/>
              <w:bottom w:w="90" w:type="dxa"/>
              <w:end w:w="120" w:type="dxa"/>
            </w:tcMar>
          </w:tcPr>
          <w:p>
            <w:pPr>
              <w:spacing w:after="0"/>
            </w:pPr>
            <w:r>
              <w:rPr>
                <w:rFonts w:ascii="Calibri" w:hAnsi="Calibri"/>
                <w:b w:val="0"/>
                <w:color w:val="172033"/>
                <w:sz w:val="19"/>
              </w:rPr>
              <w:t>First-time judging walkthrough, presenter script, and acceptance checks.</w:t>
            </w:r>
          </w:p>
        </w:tc>
      </w:tr>
    </w:tbl>
    <w:p>
      <w:pPr>
        <w:jc w:val="center"/>
      </w:pPr>
      <w:r>
        <w:drawing>
          <wp:inline xmlns:a="http://schemas.openxmlformats.org/drawingml/2006/main" xmlns:pic="http://schemas.openxmlformats.org/drawingml/2006/picture">
            <wp:extent cx="5943600" cy="3797300"/>
            <wp:docPr id="2" name="Picture 2" descr="SHORIR AI coordinated dashboard"/>
            <wp:cNvGraphicFramePr>
              <a:graphicFrameLocks noChangeAspect="1"/>
            </wp:cNvGraphicFramePr>
            <a:graphic>
              <a:graphicData uri="http://schemas.openxmlformats.org/drawingml/2006/picture">
                <pic:pic>
                  <pic:nvPicPr>
                    <pic:cNvPr id="0" name="01-dashboard.png"/>
                    <pic:cNvPicPr/>
                  </pic:nvPicPr>
                  <pic:blipFill>
                    <a:blip r:embed="rId12"/>
                    <a:stretch>
                      <a:fillRect/>
                    </a:stretch>
                  </pic:blipFill>
                  <pic:spPr>
                    <a:xfrm>
                      <a:off x="0" y="0"/>
                      <a:ext cx="5943600" cy="3797300"/>
                    </a:xfrm>
                    <a:prstGeom prst="rect"/>
                  </pic:spPr>
                </pic:pic>
              </a:graphicData>
            </a:graphic>
          </wp:inline>
        </w:drawing>
      </w:r>
    </w:p>
    <w:p>
      <w:pPr>
        <w:spacing w:after="200"/>
        <w:jc w:val="center"/>
      </w:pPr>
      <w:r>
        <w:rPr>
          <w:rFonts w:ascii="Calibri" w:hAnsi="Calibri"/>
          <w:b w:val="0"/>
          <w:color w:val="68758A"/>
          <w:sz w:val="18"/>
        </w:rPr>
        <w:t>Figure 1. Coordinated dashboard with light theme and competition branding.</w:t>
      </w:r>
    </w:p>
    <w:p>
      <w:pPr>
        <w:pStyle w:val="Heading1"/>
        <w:keepNext/>
      </w:pPr>
      <w:r>
        <w:t>3. User Experience and Visual System</w:t>
      </w:r>
    </w:p>
    <w:p>
      <w:pPr>
        <w:spacing w:after="160" w:line="300" w:lineRule="auto"/>
      </w:pPr>
      <w:r>
        <w:rPr>
          <w:rFonts w:ascii="Calibri" w:hAnsi="Calibri"/>
          <w:b w:val="0"/>
          <w:color w:val="172033"/>
          <w:sz w:val="22"/>
        </w:rPr>
        <w:t>The release interface uses a semantic white and blue palette, a fully functional dark mode, compact icon navigation, consistent eight-pixel-or-less radii, thin borders, and responsive layouts. The visual direction adapts the reference design's disciplined grid, whitespace, and restrained controls to an operational fitness product.</w:t>
      </w:r>
    </w:p>
    <w:p>
      <w:pPr>
        <w:pStyle w:val="ListBullet"/>
        <w:spacing w:after="80" w:line="288" w:lineRule="auto"/>
      </w:pPr>
      <w:r>
        <w:rPr>
          <w:rFonts w:ascii="Calibri" w:hAnsi="Calibri"/>
          <w:b w:val="0"/>
          <w:color w:val="172033"/>
          <w:sz w:val="22"/>
        </w:rPr>
        <w:t>Light and dark themes persist locally and respect the initial system preference.</w:t>
      </w:r>
    </w:p>
    <w:p>
      <w:pPr>
        <w:pStyle w:val="ListBullet"/>
        <w:spacing w:after="80" w:line="288" w:lineRule="auto"/>
      </w:pPr>
      <w:r>
        <w:rPr>
          <w:rFonts w:ascii="Calibri" w:hAnsi="Calibri"/>
          <w:b w:val="0"/>
          <w:color w:val="172033"/>
          <w:sz w:val="22"/>
        </w:rPr>
        <w:t>Mindsparks 26, CodeFront, and AUST IDC assets appear in the shared product frame.</w:t>
      </w:r>
    </w:p>
    <w:p>
      <w:pPr>
        <w:pStyle w:val="ListBullet"/>
        <w:spacing w:after="80" w:line="288" w:lineRule="auto"/>
      </w:pPr>
      <w:r>
        <w:rPr>
          <w:rFonts w:ascii="Calibri" w:hAnsi="Calibri"/>
          <w:b w:val="0"/>
          <w:color w:val="172033"/>
          <w:sz w:val="22"/>
        </w:rPr>
        <w:t>Dense workflows use stable grids and independent scrolling where appropriate.</w:t>
      </w:r>
    </w:p>
    <w:p>
      <w:pPr>
        <w:pStyle w:val="ListBullet"/>
        <w:spacing w:after="80" w:line="288" w:lineRule="auto"/>
      </w:pPr>
      <w:r>
        <w:rPr>
          <w:rFonts w:ascii="Calibri" w:hAnsi="Calibri"/>
          <w:b w:val="0"/>
          <w:color w:val="172033"/>
          <w:sz w:val="22"/>
        </w:rPr>
        <w:t>Mobile navigation prioritizes icons while preserving accessible names and tooltips.</w:t>
      </w:r>
    </w:p>
    <w:p>
      <w:pPr>
        <w:pStyle w:val="ListBullet"/>
        <w:spacing w:after="80" w:line="288" w:lineRule="auto"/>
      </w:pPr>
      <w:r>
        <w:rPr>
          <w:rFonts w:ascii="Calibri" w:hAnsi="Calibri"/>
          <w:b w:val="0"/>
          <w:color w:val="172033"/>
          <w:sz w:val="22"/>
        </w:rPr>
        <w:t>No route is reduced to a marketing page; the first screen remains a usable product.</w:t>
      </w:r>
    </w:p>
    <w:p>
      <w:pPr>
        <w:pStyle w:val="Heading2"/>
        <w:keepNext/>
      </w:pPr>
      <w:r>
        <w:t>3.1 Demo Sequence</w:t>
      </w:r>
    </w:p>
    <w:p>
      <w:pPr>
        <w:spacing w:after="160" w:line="300" w:lineRule="auto"/>
      </w:pPr>
      <w:r>
        <w:rPr>
          <w:rFonts w:ascii="Calibri" w:hAnsi="Calibri"/>
          <w:b w:val="0"/>
          <w:color w:val="172033"/>
          <w:sz w:val="22"/>
        </w:rPr>
        <w:t>The live product now includes a dedicated /demo route. It replaces the earlier placeholder presentation/report tabs with a practical first-time walkthrough, presenter script, and acceptance checklist.</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vAlign w:val="center"/>
            <w:shd w:fill="E8EEF5"/>
            <w:tcMar>
              <w:top w:w="90" w:type="dxa"/>
              <w:start w:w="120" w:type="dxa"/>
              <w:bottom w:w="90" w:type="dxa"/>
              <w:end w:w="120" w:type="dxa"/>
            </w:tcMar>
          </w:tcPr>
          <w:p>
            <w:r>
              <w:rPr>
                <w:rFonts w:ascii="Calibri" w:hAnsi="Calibri"/>
                <w:b/>
                <w:color w:val="172033"/>
                <w:sz w:val="19"/>
              </w:rPr>
              <w:t>Step</w:t>
            </w:r>
          </w:p>
        </w:tc>
        <w:tc>
          <w:tcPr>
            <w:tcW w:type="dxa" w:w="3096"/>
            <w:vAlign w:val="center"/>
            <w:shd w:fill="E8EEF5"/>
            <w:tcMar>
              <w:top w:w="90" w:type="dxa"/>
              <w:start w:w="120" w:type="dxa"/>
              <w:bottom w:w="90" w:type="dxa"/>
              <w:end w:w="120" w:type="dxa"/>
            </w:tcMar>
          </w:tcPr>
          <w:p>
            <w:r>
              <w:rPr>
                <w:rFonts w:ascii="Calibri" w:hAnsi="Calibri"/>
                <w:b/>
                <w:color w:val="172033"/>
                <w:sz w:val="19"/>
              </w:rPr>
              <w:t>Route</w:t>
            </w:r>
          </w:p>
        </w:tc>
        <w:tc>
          <w:tcPr>
            <w:tcW w:type="dxa" w:w="5472"/>
            <w:vAlign w:val="center"/>
            <w:shd w:fill="E8EEF5"/>
            <w:tcMar>
              <w:top w:w="90" w:type="dxa"/>
              <w:start w:w="120" w:type="dxa"/>
              <w:bottom w:w="90" w:type="dxa"/>
              <w:end w:w="120" w:type="dxa"/>
            </w:tcMar>
          </w:tcPr>
          <w:p>
            <w:r>
              <w:rPr>
                <w:rFonts w:ascii="Calibri" w:hAnsi="Calibri"/>
                <w:b/>
                <w:color w:val="172033"/>
                <w:sz w:val="19"/>
              </w:rPr>
              <w:t>Purpose</w:t>
            </w:r>
          </w:p>
        </w:tc>
      </w:tr>
      <w:tr>
        <w:tc>
          <w:tcPr>
            <w:tcW w:type="dxa" w:w="792"/>
            <w:vAlign w:val="center"/>
            <w:tcMar>
              <w:top w:w="90" w:type="dxa"/>
              <w:start w:w="120" w:type="dxa"/>
              <w:bottom w:w="90" w:type="dxa"/>
              <w:end w:w="120" w:type="dxa"/>
            </w:tcMar>
          </w:tcPr>
          <w:p>
            <w:pPr>
              <w:spacing w:after="0"/>
            </w:pPr>
            <w:r>
              <w:rPr>
                <w:rFonts w:ascii="Calibri" w:hAnsi="Calibri"/>
                <w:b w:val="0"/>
                <w:color w:val="172033"/>
                <w:sz w:val="19"/>
              </w:rPr>
              <w:t>1</w:t>
            </w:r>
          </w:p>
        </w:tc>
        <w:tc>
          <w:tcPr>
            <w:tcW w:type="dxa" w:w="3096"/>
            <w:vAlign w:val="center"/>
            <w:tcMar>
              <w:top w:w="90" w:type="dxa"/>
              <w:start w:w="120" w:type="dxa"/>
              <w:bottom w:w="90" w:type="dxa"/>
              <w:end w:w="120" w:type="dxa"/>
            </w:tcMar>
          </w:tcPr>
          <w:p>
            <w:pPr>
              <w:spacing w:after="0"/>
            </w:pPr>
            <w:r>
              <w:rPr>
                <w:rFonts w:ascii="Calibri" w:hAnsi="Calibri"/>
                <w:b w:val="0"/>
                <w:color w:val="172033"/>
                <w:sz w:val="19"/>
              </w:rPr>
              <w:t>/onboarding</w:t>
            </w:r>
          </w:p>
        </w:tc>
        <w:tc>
          <w:tcPr>
            <w:tcW w:type="dxa" w:w="5472"/>
            <w:vAlign w:val="center"/>
            <w:tcMar>
              <w:top w:w="90" w:type="dxa"/>
              <w:start w:w="120" w:type="dxa"/>
              <w:bottom w:w="90" w:type="dxa"/>
              <w:end w:w="120" w:type="dxa"/>
            </w:tcMar>
          </w:tcPr>
          <w:p>
            <w:pPr>
              <w:spacing w:after="0"/>
            </w:pPr>
            <w:r>
              <w:rPr>
                <w:rFonts w:ascii="Calibri" w:hAnsi="Calibri"/>
                <w:b w:val="0"/>
                <w:color w:val="172033"/>
                <w:sz w:val="19"/>
              </w:rPr>
              <w:t>Create a clean profile.</w:t>
            </w:r>
          </w:p>
        </w:tc>
      </w:tr>
      <w:tr>
        <w:tc>
          <w:tcPr>
            <w:tcW w:type="dxa" w:w="792"/>
            <w:vAlign w:val="center"/>
            <w:tcMar>
              <w:top w:w="90" w:type="dxa"/>
              <w:start w:w="120" w:type="dxa"/>
              <w:bottom w:w="90" w:type="dxa"/>
              <w:end w:w="120" w:type="dxa"/>
            </w:tcMar>
          </w:tcPr>
          <w:p>
            <w:pPr>
              <w:spacing w:after="0"/>
            </w:pPr>
            <w:r>
              <w:rPr>
                <w:rFonts w:ascii="Calibri" w:hAnsi="Calibri"/>
                <w:b w:val="0"/>
                <w:color w:val="172033"/>
                <w:sz w:val="19"/>
              </w:rPr>
              <w:t>2</w:t>
            </w:r>
          </w:p>
        </w:tc>
        <w:tc>
          <w:tcPr>
            <w:tcW w:type="dxa" w:w="3096"/>
            <w:vAlign w:val="center"/>
            <w:tcMar>
              <w:top w:w="90" w:type="dxa"/>
              <w:start w:w="120" w:type="dxa"/>
              <w:bottom w:w="90" w:type="dxa"/>
              <w:end w:w="120" w:type="dxa"/>
            </w:tcMar>
          </w:tcPr>
          <w:p>
            <w:pPr>
              <w:spacing w:after="0"/>
            </w:pPr>
            <w:r>
              <w:rPr>
                <w:rFonts w:ascii="Calibri" w:hAnsi="Calibri"/>
                <w:b w:val="0"/>
                <w:color w:val="172033"/>
                <w:sz w:val="19"/>
              </w:rPr>
              <w:t>/</w:t>
            </w:r>
          </w:p>
        </w:tc>
        <w:tc>
          <w:tcPr>
            <w:tcW w:type="dxa" w:w="5472"/>
            <w:vAlign w:val="center"/>
            <w:tcMar>
              <w:top w:w="90" w:type="dxa"/>
              <w:start w:w="120" w:type="dxa"/>
              <w:bottom w:w="90" w:type="dxa"/>
              <w:end w:w="120" w:type="dxa"/>
            </w:tcMar>
          </w:tcPr>
          <w:p>
            <w:pPr>
              <w:spacing w:after="0"/>
            </w:pPr>
            <w:r>
              <w:rPr>
                <w:rFonts w:ascii="Calibri" w:hAnsi="Calibri"/>
                <w:b w:val="0"/>
                <w:color w:val="172033"/>
                <w:sz w:val="19"/>
              </w:rPr>
              <w:t>Review today's plan and shortcuts.</w:t>
            </w:r>
          </w:p>
        </w:tc>
      </w:tr>
      <w:tr>
        <w:tc>
          <w:tcPr>
            <w:tcW w:type="dxa" w:w="792"/>
            <w:vAlign w:val="center"/>
            <w:tcMar>
              <w:top w:w="90" w:type="dxa"/>
              <w:start w:w="120" w:type="dxa"/>
              <w:bottom w:w="90" w:type="dxa"/>
              <w:end w:w="120" w:type="dxa"/>
            </w:tcMar>
          </w:tcPr>
          <w:p>
            <w:pPr>
              <w:spacing w:after="0"/>
            </w:pPr>
            <w:r>
              <w:rPr>
                <w:rFonts w:ascii="Calibri" w:hAnsi="Calibri"/>
                <w:b w:val="0"/>
                <w:color w:val="172033"/>
                <w:sz w:val="19"/>
              </w:rPr>
              <w:t>3</w:t>
            </w:r>
          </w:p>
        </w:tc>
        <w:tc>
          <w:tcPr>
            <w:tcW w:type="dxa" w:w="3096"/>
            <w:vAlign w:val="center"/>
            <w:tcMar>
              <w:top w:w="90" w:type="dxa"/>
              <w:start w:w="120" w:type="dxa"/>
              <w:bottom w:w="90" w:type="dxa"/>
              <w:end w:w="120" w:type="dxa"/>
            </w:tcMar>
          </w:tcPr>
          <w:p>
            <w:pPr>
              <w:spacing w:after="0"/>
            </w:pPr>
            <w:r>
              <w:rPr>
                <w:rFonts w:ascii="Calibri" w:hAnsi="Calibri"/>
                <w:b w:val="0"/>
                <w:color w:val="172033"/>
                <w:sz w:val="19"/>
              </w:rPr>
              <w:t>/coach?exercise=squat</w:t>
            </w:r>
          </w:p>
        </w:tc>
        <w:tc>
          <w:tcPr>
            <w:tcW w:type="dxa" w:w="5472"/>
            <w:vAlign w:val="center"/>
            <w:tcMar>
              <w:top w:w="90" w:type="dxa"/>
              <w:start w:w="120" w:type="dxa"/>
              <w:bottom w:w="90" w:type="dxa"/>
              <w:end w:w="120" w:type="dxa"/>
            </w:tcMar>
          </w:tcPr>
          <w:p>
            <w:pPr>
              <w:spacing w:after="0"/>
            </w:pPr>
            <w:r>
              <w:rPr>
                <w:rFonts w:ascii="Calibri" w:hAnsi="Calibri"/>
                <w:b w:val="0"/>
                <w:color w:val="172033"/>
                <w:sz w:val="19"/>
              </w:rPr>
              <w:t>Show strict live rep coaching.</w:t>
            </w:r>
          </w:p>
        </w:tc>
      </w:tr>
      <w:tr>
        <w:tc>
          <w:tcPr>
            <w:tcW w:type="dxa" w:w="792"/>
            <w:vAlign w:val="center"/>
            <w:tcMar>
              <w:top w:w="90" w:type="dxa"/>
              <w:start w:w="120" w:type="dxa"/>
              <w:bottom w:w="90" w:type="dxa"/>
              <w:end w:w="120" w:type="dxa"/>
            </w:tcMar>
          </w:tcPr>
          <w:p>
            <w:pPr>
              <w:spacing w:after="0"/>
            </w:pPr>
            <w:r>
              <w:rPr>
                <w:rFonts w:ascii="Calibri" w:hAnsi="Calibri"/>
                <w:b w:val="0"/>
                <w:color w:val="172033"/>
                <w:sz w:val="19"/>
              </w:rPr>
              <w:t>4</w:t>
            </w:r>
          </w:p>
        </w:tc>
        <w:tc>
          <w:tcPr>
            <w:tcW w:type="dxa" w:w="3096"/>
            <w:vAlign w:val="center"/>
            <w:tcMar>
              <w:top w:w="90" w:type="dxa"/>
              <w:start w:w="120" w:type="dxa"/>
              <w:bottom w:w="90" w:type="dxa"/>
              <w:end w:w="120" w:type="dxa"/>
            </w:tcMar>
          </w:tcPr>
          <w:p>
            <w:pPr>
              <w:spacing w:after="0"/>
            </w:pPr>
            <w:r>
              <w:rPr>
                <w:rFonts w:ascii="Calibri" w:hAnsi="Calibri"/>
                <w:b w:val="0"/>
                <w:color w:val="172033"/>
                <w:sz w:val="19"/>
              </w:rPr>
              <w:t>/exercise-library</w:t>
            </w:r>
          </w:p>
        </w:tc>
        <w:tc>
          <w:tcPr>
            <w:tcW w:type="dxa" w:w="5472"/>
            <w:vAlign w:val="center"/>
            <w:tcMar>
              <w:top w:w="90" w:type="dxa"/>
              <w:start w:w="120" w:type="dxa"/>
              <w:bottom w:w="90" w:type="dxa"/>
              <w:end w:w="120" w:type="dxa"/>
            </w:tcMar>
          </w:tcPr>
          <w:p>
            <w:pPr>
              <w:spacing w:after="0"/>
            </w:pPr>
            <w:r>
              <w:rPr>
                <w:rFonts w:ascii="Calibri" w:hAnsi="Calibri"/>
                <w:b w:val="0"/>
                <w:color w:val="172033"/>
                <w:sz w:val="19"/>
              </w:rPr>
              <w:t>Open movement guidance.</w:t>
            </w:r>
          </w:p>
        </w:tc>
      </w:tr>
      <w:tr>
        <w:tc>
          <w:tcPr>
            <w:tcW w:type="dxa" w:w="792"/>
            <w:vAlign w:val="center"/>
            <w:tcMar>
              <w:top w:w="90" w:type="dxa"/>
              <w:start w:w="120" w:type="dxa"/>
              <w:bottom w:w="90" w:type="dxa"/>
              <w:end w:w="120" w:type="dxa"/>
            </w:tcMar>
          </w:tcPr>
          <w:p>
            <w:pPr>
              <w:spacing w:after="0"/>
            </w:pPr>
            <w:r>
              <w:rPr>
                <w:rFonts w:ascii="Calibri" w:hAnsi="Calibri"/>
                <w:b w:val="0"/>
                <w:color w:val="172033"/>
                <w:sz w:val="19"/>
              </w:rPr>
              <w:t>5</w:t>
            </w:r>
          </w:p>
        </w:tc>
        <w:tc>
          <w:tcPr>
            <w:tcW w:type="dxa" w:w="3096"/>
            <w:vAlign w:val="center"/>
            <w:tcMar>
              <w:top w:w="90" w:type="dxa"/>
              <w:start w:w="120" w:type="dxa"/>
              <w:bottom w:w="90" w:type="dxa"/>
              <w:end w:w="120" w:type="dxa"/>
            </w:tcMar>
          </w:tcPr>
          <w:p>
            <w:pPr>
              <w:spacing w:after="0"/>
            </w:pPr>
            <w:r>
              <w:rPr>
                <w:rFonts w:ascii="Calibri" w:hAnsi="Calibri"/>
                <w:b w:val="0"/>
                <w:color w:val="172033"/>
                <w:sz w:val="19"/>
              </w:rPr>
              <w:t>/diet-chart</w:t>
            </w:r>
          </w:p>
        </w:tc>
        <w:tc>
          <w:tcPr>
            <w:tcW w:type="dxa" w:w="5472"/>
            <w:vAlign w:val="center"/>
            <w:tcMar>
              <w:top w:w="90" w:type="dxa"/>
              <w:start w:w="120" w:type="dxa"/>
              <w:bottom w:w="90" w:type="dxa"/>
              <w:end w:w="120" w:type="dxa"/>
            </w:tcMar>
          </w:tcPr>
          <w:p>
            <w:pPr>
              <w:spacing w:after="0"/>
            </w:pPr>
            <w:r>
              <w:rPr>
                <w:rFonts w:ascii="Calibri" w:hAnsi="Calibri"/>
                <w:b w:val="0"/>
                <w:color w:val="172033"/>
                <w:sz w:val="19"/>
              </w:rPr>
              <w:t>Generate local diet guidance.</w:t>
            </w:r>
          </w:p>
        </w:tc>
      </w:tr>
      <w:tr>
        <w:tc>
          <w:tcPr>
            <w:tcW w:type="dxa" w:w="792"/>
            <w:vAlign w:val="center"/>
            <w:tcMar>
              <w:top w:w="90" w:type="dxa"/>
              <w:start w:w="120" w:type="dxa"/>
              <w:bottom w:w="90" w:type="dxa"/>
              <w:end w:w="120" w:type="dxa"/>
            </w:tcMar>
          </w:tcPr>
          <w:p>
            <w:pPr>
              <w:spacing w:after="0"/>
            </w:pPr>
            <w:r>
              <w:rPr>
                <w:rFonts w:ascii="Calibri" w:hAnsi="Calibri"/>
                <w:b w:val="0"/>
                <w:color w:val="172033"/>
                <w:sz w:val="19"/>
              </w:rPr>
              <w:t>6</w:t>
            </w:r>
          </w:p>
        </w:tc>
        <w:tc>
          <w:tcPr>
            <w:tcW w:type="dxa" w:w="3096"/>
            <w:vAlign w:val="center"/>
            <w:tcMar>
              <w:top w:w="90" w:type="dxa"/>
              <w:start w:w="120" w:type="dxa"/>
              <w:bottom w:w="90" w:type="dxa"/>
              <w:end w:w="120" w:type="dxa"/>
            </w:tcMar>
          </w:tcPr>
          <w:p>
            <w:pPr>
              <w:spacing w:after="0"/>
            </w:pPr>
            <w:r>
              <w:rPr>
                <w:rFonts w:ascii="Calibri" w:hAnsi="Calibri"/>
                <w:b w:val="0"/>
                <w:color w:val="172033"/>
                <w:sz w:val="19"/>
              </w:rPr>
              <w:t>/calorie-check</w:t>
            </w:r>
          </w:p>
        </w:tc>
        <w:tc>
          <w:tcPr>
            <w:tcW w:type="dxa" w:w="5472"/>
            <w:vAlign w:val="center"/>
            <w:tcMar>
              <w:top w:w="90" w:type="dxa"/>
              <w:start w:w="120" w:type="dxa"/>
              <w:bottom w:w="90" w:type="dxa"/>
              <w:end w:w="120" w:type="dxa"/>
            </w:tcMar>
          </w:tcPr>
          <w:p>
            <w:pPr>
              <w:spacing w:after="0"/>
            </w:pPr>
            <w:r>
              <w:rPr>
                <w:rFonts w:ascii="Calibri" w:hAnsi="Calibri"/>
                <w:b w:val="0"/>
                <w:color w:val="172033"/>
                <w:sz w:val="19"/>
              </w:rPr>
              <w:t>Review calories from desktop or phone capture.</w:t>
            </w:r>
          </w:p>
        </w:tc>
      </w:tr>
      <w:tr>
        <w:tc>
          <w:tcPr>
            <w:tcW w:type="dxa" w:w="792"/>
            <w:vAlign w:val="center"/>
            <w:tcMar>
              <w:top w:w="90" w:type="dxa"/>
              <w:start w:w="120" w:type="dxa"/>
              <w:bottom w:w="90" w:type="dxa"/>
              <w:end w:w="120" w:type="dxa"/>
            </w:tcMar>
          </w:tcPr>
          <w:p>
            <w:pPr>
              <w:spacing w:after="0"/>
            </w:pPr>
            <w:r>
              <w:rPr>
                <w:rFonts w:ascii="Calibri" w:hAnsi="Calibri"/>
                <w:b w:val="0"/>
                <w:color w:val="172033"/>
                <w:sz w:val="19"/>
              </w:rPr>
              <w:t>7</w:t>
            </w:r>
          </w:p>
        </w:tc>
        <w:tc>
          <w:tcPr>
            <w:tcW w:type="dxa" w:w="3096"/>
            <w:vAlign w:val="center"/>
            <w:tcMar>
              <w:top w:w="90" w:type="dxa"/>
              <w:start w:w="120" w:type="dxa"/>
              <w:bottom w:w="90" w:type="dxa"/>
              <w:end w:w="120" w:type="dxa"/>
            </w:tcMar>
          </w:tcPr>
          <w:p>
            <w:pPr>
              <w:spacing w:after="0"/>
            </w:pPr>
            <w:r>
              <w:rPr>
                <w:rFonts w:ascii="Calibri" w:hAnsi="Calibri"/>
                <w:b w:val="0"/>
                <w:color w:val="172033"/>
                <w:sz w:val="19"/>
              </w:rPr>
              <w:t>/progress</w:t>
            </w:r>
          </w:p>
        </w:tc>
        <w:tc>
          <w:tcPr>
            <w:tcW w:type="dxa" w:w="5472"/>
            <w:vAlign w:val="center"/>
            <w:tcMar>
              <w:top w:w="90" w:type="dxa"/>
              <w:start w:w="120" w:type="dxa"/>
              <w:bottom w:w="90" w:type="dxa"/>
              <w:end w:w="120" w:type="dxa"/>
            </w:tcMar>
          </w:tcPr>
          <w:p>
            <w:pPr>
              <w:spacing w:after="0"/>
            </w:pPr>
            <w:r>
              <w:rPr>
                <w:rFonts w:ascii="Calibri" w:hAnsi="Calibri"/>
                <w:b w:val="0"/>
                <w:color w:val="172033"/>
                <w:sz w:val="19"/>
              </w:rPr>
              <w:t>Close with saved session diagnostics.</w:t>
            </w:r>
          </w:p>
        </w:tc>
      </w:tr>
      <w:tr>
        <w:tc>
          <w:tcPr>
            <w:tcW w:type="dxa" w:w="792"/>
            <w:vAlign w:val="center"/>
            <w:tcMar>
              <w:top w:w="90" w:type="dxa"/>
              <w:start w:w="120" w:type="dxa"/>
              <w:bottom w:w="90" w:type="dxa"/>
              <w:end w:w="120" w:type="dxa"/>
            </w:tcMar>
          </w:tcPr>
          <w:p>
            <w:pPr>
              <w:spacing w:after="0"/>
            </w:pPr>
            <w:r>
              <w:rPr>
                <w:rFonts w:ascii="Calibri" w:hAnsi="Calibri"/>
                <w:b w:val="0"/>
                <w:color w:val="172033"/>
                <w:sz w:val="19"/>
              </w:rPr>
              <w:t>8</w:t>
            </w:r>
          </w:p>
        </w:tc>
        <w:tc>
          <w:tcPr>
            <w:tcW w:type="dxa" w:w="3096"/>
            <w:vAlign w:val="center"/>
            <w:tcMar>
              <w:top w:w="90" w:type="dxa"/>
              <w:start w:w="120" w:type="dxa"/>
              <w:bottom w:w="90" w:type="dxa"/>
              <w:end w:w="120" w:type="dxa"/>
            </w:tcMar>
          </w:tcPr>
          <w:p>
            <w:pPr>
              <w:spacing w:after="0"/>
            </w:pPr>
            <w:r>
              <w:rPr>
                <w:rFonts w:ascii="Calibri" w:hAnsi="Calibri"/>
                <w:b w:val="0"/>
                <w:color w:val="172033"/>
                <w:sz w:val="19"/>
              </w:rPr>
              <w:t>/about-competition</w:t>
            </w:r>
          </w:p>
        </w:tc>
        <w:tc>
          <w:tcPr>
            <w:tcW w:type="dxa" w:w="5472"/>
            <w:vAlign w:val="center"/>
            <w:tcMar>
              <w:top w:w="90" w:type="dxa"/>
              <w:start w:w="120" w:type="dxa"/>
              <w:bottom w:w="90" w:type="dxa"/>
              <w:end w:w="120" w:type="dxa"/>
            </w:tcMar>
          </w:tcPr>
          <w:p>
            <w:pPr>
              <w:spacing w:after="0"/>
            </w:pPr>
            <w:r>
              <w:rPr>
                <w:rFonts w:ascii="Calibri" w:hAnsi="Calibri"/>
                <w:b w:val="0"/>
                <w:color w:val="172033"/>
                <w:sz w:val="19"/>
              </w:rPr>
              <w:t>Show submission package.</w:t>
            </w:r>
          </w:p>
        </w:tc>
      </w:tr>
    </w:tbl>
    <w:p>
      <w:pPr>
        <w:jc w:val="center"/>
      </w:pPr>
      <w:r>
        <w:drawing>
          <wp:inline xmlns:a="http://schemas.openxmlformats.org/drawingml/2006/main" xmlns:pic="http://schemas.openxmlformats.org/drawingml/2006/picture">
            <wp:extent cx="5943600" cy="3797300"/>
            <wp:docPr id="3" name="Picture 3" descr="SHORIR AI demo sequence"/>
            <wp:cNvGraphicFramePr>
              <a:graphicFrameLocks noChangeAspect="1"/>
            </wp:cNvGraphicFramePr>
            <a:graphic>
              <a:graphicData uri="http://schemas.openxmlformats.org/drawingml/2006/picture">
                <pic:pic>
                  <pic:nvPicPr>
                    <pic:cNvPr id="0" name="02-demo.png"/>
                    <pic:cNvPicPr/>
                  </pic:nvPicPr>
                  <pic:blipFill>
                    <a:blip r:embed="rId13"/>
                    <a:stretch>
                      <a:fillRect/>
                    </a:stretch>
                  </pic:blipFill>
                  <pic:spPr>
                    <a:xfrm>
                      <a:off x="0" y="0"/>
                      <a:ext cx="5943600" cy="3797300"/>
                    </a:xfrm>
                    <a:prstGeom prst="rect"/>
                  </pic:spPr>
                </pic:pic>
              </a:graphicData>
            </a:graphic>
          </wp:inline>
        </w:drawing>
      </w:r>
    </w:p>
    <w:p>
      <w:pPr>
        <w:spacing w:after="200"/>
        <w:jc w:val="center"/>
      </w:pPr>
      <w:r>
        <w:rPr>
          <w:rFonts w:ascii="Calibri" w:hAnsi="Calibri"/>
          <w:b w:val="0"/>
          <w:color w:val="68758A"/>
          <w:sz w:val="18"/>
        </w:rPr>
        <w:t>Figure 2. First-time demo sequence with walkthrough, presenter script, and acceptance checks.</w:t>
      </w:r>
    </w:p>
    <w:p>
      <w:pPr>
        <w:pStyle w:val="Heading1"/>
        <w:keepNext/>
      </w:pPr>
      <w:r>
        <w:t>4. System Architecture</w:t>
      </w:r>
    </w:p>
    <w:p>
      <w:pPr>
        <w:spacing w:after="160" w:line="300" w:lineRule="auto"/>
      </w:pPr>
      <w:r>
        <w:rPr>
          <w:rFonts w:ascii="Calibri" w:hAnsi="Calibri"/>
          <w:b w:val="0"/>
          <w:color w:val="172033"/>
          <w:sz w:val="22"/>
        </w:rPr>
        <w:t>SHORIR AI is a PNPM TypeScript monorepo. Shared contracts keep browser and API wire shapes aligned, while ports isolate external technology choices.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12"/>
            <w:vAlign w:val="center"/>
            <w:shd w:fill="E8EEF5"/>
            <w:tcMar>
              <w:top w:w="90" w:type="dxa"/>
              <w:start w:w="120" w:type="dxa"/>
              <w:bottom w:w="90" w:type="dxa"/>
              <w:end w:w="120" w:type="dxa"/>
            </w:tcMar>
          </w:tcPr>
          <w:p>
            <w:r>
              <w:rPr>
                <w:rFonts w:ascii="Calibri" w:hAnsi="Calibri"/>
                <w:b/>
                <w:color w:val="172033"/>
                <w:sz w:val="19"/>
              </w:rPr>
              <w:t>Layer</w:t>
            </w:r>
          </w:p>
        </w:tc>
        <w:tc>
          <w:tcPr>
            <w:tcW w:type="dxa" w:w="2232"/>
            <w:vAlign w:val="center"/>
            <w:shd w:fill="E8EEF5"/>
            <w:tcMar>
              <w:top w:w="90" w:type="dxa"/>
              <w:start w:w="120" w:type="dxa"/>
              <w:bottom w:w="90" w:type="dxa"/>
              <w:end w:w="120" w:type="dxa"/>
            </w:tcMar>
          </w:tcPr>
          <w:p>
            <w:r>
              <w:rPr>
                <w:rFonts w:ascii="Calibri" w:hAnsi="Calibri"/>
                <w:b/>
                <w:color w:val="172033"/>
                <w:sz w:val="19"/>
              </w:rPr>
              <w:t>Technology</w:t>
            </w:r>
          </w:p>
        </w:tc>
        <w:tc>
          <w:tcPr>
            <w:tcW w:type="dxa" w:w="5616"/>
            <w:vAlign w:val="center"/>
            <w:shd w:fill="E8EEF5"/>
            <w:tcMar>
              <w:top w:w="90" w:type="dxa"/>
              <w:start w:w="120" w:type="dxa"/>
              <w:bottom w:w="90" w:type="dxa"/>
              <w:end w:w="120" w:type="dxa"/>
            </w:tcMar>
          </w:tcPr>
          <w:p>
            <w:r>
              <w:rPr>
                <w:rFonts w:ascii="Calibri" w:hAnsi="Calibri"/>
                <w:b/>
                <w:color w:val="172033"/>
                <w:sz w:val="19"/>
              </w:rPr>
              <w:t>Responsibility</w:t>
            </w:r>
          </w:p>
        </w:tc>
      </w:tr>
      <w:tr>
        <w:tc>
          <w:tcPr>
            <w:tcW w:type="dxa" w:w="1512"/>
            <w:vAlign w:val="center"/>
            <w:tcMar>
              <w:top w:w="90" w:type="dxa"/>
              <w:start w:w="120" w:type="dxa"/>
              <w:bottom w:w="90" w:type="dxa"/>
              <w:end w:w="120" w:type="dxa"/>
            </w:tcMar>
          </w:tcPr>
          <w:p>
            <w:pPr>
              <w:spacing w:after="0"/>
            </w:pPr>
            <w:r>
              <w:rPr>
                <w:rFonts w:ascii="Calibri" w:hAnsi="Calibri"/>
                <w:b w:val="0"/>
                <w:color w:val="172033"/>
                <w:sz w:val="19"/>
              </w:rPr>
              <w:t>Web</w:t>
            </w:r>
          </w:p>
        </w:tc>
        <w:tc>
          <w:tcPr>
            <w:tcW w:type="dxa" w:w="2232"/>
            <w:vAlign w:val="center"/>
            <w:tcMar>
              <w:top w:w="90" w:type="dxa"/>
              <w:start w:w="120" w:type="dxa"/>
              <w:bottom w:w="90" w:type="dxa"/>
              <w:end w:w="120" w:type="dxa"/>
            </w:tcMar>
          </w:tcPr>
          <w:p>
            <w:pPr>
              <w:spacing w:after="0"/>
            </w:pPr>
            <w:r>
              <w:rPr>
                <w:rFonts w:ascii="Calibri" w:hAnsi="Calibri"/>
                <w:b w:val="0"/>
                <w:color w:val="172033"/>
                <w:sz w:val="19"/>
              </w:rPr>
              <w:t>React 19, Vite</w:t>
            </w:r>
          </w:p>
        </w:tc>
        <w:tc>
          <w:tcPr>
            <w:tcW w:type="dxa" w:w="5616"/>
            <w:vAlign w:val="center"/>
            <w:tcMar>
              <w:top w:w="90" w:type="dxa"/>
              <w:start w:w="120" w:type="dxa"/>
              <w:bottom w:w="90" w:type="dxa"/>
              <w:end w:w="120" w:type="dxa"/>
            </w:tcMar>
          </w:tcPr>
          <w:p>
            <w:pPr>
              <w:spacing w:after="0"/>
            </w:pPr>
            <w:r>
              <w:rPr>
                <w:rFonts w:ascii="Calibri" w:hAnsi="Calibri"/>
                <w:b w:val="0"/>
                <w:color w:val="172033"/>
                <w:sz w:val="19"/>
              </w:rPr>
              <w:t>Routes, workflows, local session state, camera UI, and rendering.</w:t>
            </w:r>
          </w:p>
        </w:tc>
      </w:tr>
      <w:tr>
        <w:tc>
          <w:tcPr>
            <w:tcW w:type="dxa" w:w="1512"/>
            <w:vAlign w:val="center"/>
            <w:tcMar>
              <w:top w:w="90" w:type="dxa"/>
              <w:start w:w="120" w:type="dxa"/>
              <w:bottom w:w="90" w:type="dxa"/>
              <w:end w:w="120" w:type="dxa"/>
            </w:tcMar>
          </w:tcPr>
          <w:p>
            <w:pPr>
              <w:spacing w:after="0"/>
            </w:pPr>
            <w:r>
              <w:rPr>
                <w:rFonts w:ascii="Calibri" w:hAnsi="Calibri"/>
                <w:b w:val="0"/>
                <w:color w:val="172033"/>
                <w:sz w:val="19"/>
              </w:rPr>
              <w:t>Pose</w:t>
            </w:r>
          </w:p>
        </w:tc>
        <w:tc>
          <w:tcPr>
            <w:tcW w:type="dxa" w:w="2232"/>
            <w:vAlign w:val="center"/>
            <w:tcMar>
              <w:top w:w="90" w:type="dxa"/>
              <w:start w:w="120" w:type="dxa"/>
              <w:bottom w:w="90" w:type="dxa"/>
              <w:end w:w="120" w:type="dxa"/>
            </w:tcMar>
          </w:tcPr>
          <w:p>
            <w:pPr>
              <w:spacing w:after="0"/>
            </w:pPr>
            <w:r>
              <w:rPr>
                <w:rFonts w:ascii="Calibri" w:hAnsi="Calibri"/>
                <w:b w:val="0"/>
                <w:color w:val="172033"/>
                <w:sz w:val="19"/>
              </w:rPr>
              <w:t>MediaPipe Tasks Vision</w:t>
            </w:r>
          </w:p>
        </w:tc>
        <w:tc>
          <w:tcPr>
            <w:tcW w:type="dxa" w:w="5616"/>
            <w:vAlign w:val="center"/>
            <w:tcMar>
              <w:top w:w="90" w:type="dxa"/>
              <w:start w:w="120" w:type="dxa"/>
              <w:bottom w:w="90" w:type="dxa"/>
              <w:end w:w="120" w:type="dxa"/>
            </w:tcMar>
          </w:tcPr>
          <w:p>
            <w:pPr>
              <w:spacing w:after="0"/>
            </w:pPr>
            <w:r>
              <w:rPr>
                <w:rFonts w:ascii="Calibri" w:hAnsi="Calibri"/>
                <w:b w:val="0"/>
                <w:color w:val="172033"/>
                <w:sz w:val="19"/>
              </w:rPr>
              <w:t>Browser-side landmark estimation and local analysis.</w:t>
            </w:r>
          </w:p>
        </w:tc>
      </w:tr>
      <w:tr>
        <w:tc>
          <w:tcPr>
            <w:tcW w:type="dxa" w:w="1512"/>
            <w:vAlign w:val="center"/>
            <w:tcMar>
              <w:top w:w="90" w:type="dxa"/>
              <w:start w:w="120" w:type="dxa"/>
              <w:bottom w:w="90" w:type="dxa"/>
              <w:end w:w="120" w:type="dxa"/>
            </w:tcMar>
          </w:tcPr>
          <w:p>
            <w:pPr>
              <w:spacing w:after="0"/>
            </w:pPr>
            <w:r>
              <w:rPr>
                <w:rFonts w:ascii="Calibri" w:hAnsi="Calibri"/>
                <w:b w:val="0"/>
                <w:color w:val="172033"/>
                <w:sz w:val="19"/>
              </w:rPr>
              <w:t>API</w:t>
            </w:r>
          </w:p>
        </w:tc>
        <w:tc>
          <w:tcPr>
            <w:tcW w:type="dxa" w:w="2232"/>
            <w:vAlign w:val="center"/>
            <w:tcMar>
              <w:top w:w="90" w:type="dxa"/>
              <w:start w:w="120" w:type="dxa"/>
              <w:bottom w:w="90" w:type="dxa"/>
              <w:end w:w="120" w:type="dxa"/>
            </w:tcMar>
          </w:tcPr>
          <w:p>
            <w:pPr>
              <w:spacing w:after="0"/>
            </w:pPr>
            <w:r>
              <w:rPr>
                <w:rFonts w:ascii="Calibri" w:hAnsi="Calibri"/>
                <w:b w:val="0"/>
                <w:color w:val="172033"/>
                <w:sz w:val="19"/>
              </w:rPr>
              <w:t>Express</w:t>
            </w:r>
          </w:p>
        </w:tc>
        <w:tc>
          <w:tcPr>
            <w:tcW w:type="dxa" w:w="5616"/>
            <w:vAlign w:val="center"/>
            <w:tcMar>
              <w:top w:w="90" w:type="dxa"/>
              <w:start w:w="120" w:type="dxa"/>
              <w:bottom w:w="90" w:type="dxa"/>
              <w:end w:w="120" w:type="dxa"/>
            </w:tcMar>
          </w:tcPr>
          <w:p>
            <w:pPr>
              <w:spacing w:after="0"/>
            </w:pPr>
            <w:r>
              <w:rPr>
                <w:rFonts w:ascii="Calibri" w:hAnsi="Calibri"/>
                <w:b w:val="0"/>
                <w:color w:val="172033"/>
                <w:sz w:val="19"/>
              </w:rPr>
              <w:t>Profiles, sessions, coach reviews, meal reviews, and signaling.</w:t>
            </w:r>
          </w:p>
        </w:tc>
      </w:tr>
      <w:tr>
        <w:tc>
          <w:tcPr>
            <w:tcW w:type="dxa" w:w="1512"/>
            <w:vAlign w:val="center"/>
            <w:tcMar>
              <w:top w:w="90" w:type="dxa"/>
              <w:start w:w="120" w:type="dxa"/>
              <w:bottom w:w="90" w:type="dxa"/>
              <w:end w:w="120" w:type="dxa"/>
            </w:tcMar>
          </w:tcPr>
          <w:p>
            <w:pPr>
              <w:spacing w:after="0"/>
            </w:pPr>
            <w:r>
              <w:rPr>
                <w:rFonts w:ascii="Calibri" w:hAnsi="Calibri"/>
                <w:b w:val="0"/>
                <w:color w:val="172033"/>
                <w:sz w:val="19"/>
              </w:rPr>
              <w:t>Contracts</w:t>
            </w:r>
          </w:p>
        </w:tc>
        <w:tc>
          <w:tcPr>
            <w:tcW w:type="dxa" w:w="2232"/>
            <w:vAlign w:val="center"/>
            <w:tcMar>
              <w:top w:w="90" w:type="dxa"/>
              <w:start w:w="120" w:type="dxa"/>
              <w:bottom w:w="90" w:type="dxa"/>
              <w:end w:w="120" w:type="dxa"/>
            </w:tcMar>
          </w:tcPr>
          <w:p>
            <w:pPr>
              <w:spacing w:after="0"/>
            </w:pPr>
            <w:r>
              <w:rPr>
                <w:rFonts w:ascii="Calibri" w:hAnsi="Calibri"/>
                <w:b w:val="0"/>
                <w:color w:val="172033"/>
                <w:sz w:val="19"/>
              </w:rPr>
              <w:t>TypeScript package</w:t>
            </w:r>
          </w:p>
        </w:tc>
        <w:tc>
          <w:tcPr>
            <w:tcW w:type="dxa" w:w="5616"/>
            <w:vAlign w:val="center"/>
            <w:tcMar>
              <w:top w:w="90" w:type="dxa"/>
              <w:start w:w="120" w:type="dxa"/>
              <w:bottom w:w="90" w:type="dxa"/>
              <w:end w:w="120" w:type="dxa"/>
            </w:tcMar>
          </w:tcPr>
          <w:p>
            <w:pPr>
              <w:spacing w:after="0"/>
            </w:pPr>
            <w:r>
              <w:rPr>
                <w:rFonts w:ascii="Calibri" w:hAnsi="Calibri"/>
                <w:b w:val="0"/>
                <w:color w:val="172033"/>
                <w:sz w:val="19"/>
              </w:rPr>
              <w:t>Shared request, response, and domain shapes.</w:t>
            </w:r>
          </w:p>
        </w:tc>
      </w:tr>
      <w:tr>
        <w:tc>
          <w:tcPr>
            <w:tcW w:type="dxa" w:w="1512"/>
            <w:vAlign w:val="center"/>
            <w:tcMar>
              <w:top w:w="90" w:type="dxa"/>
              <w:start w:w="120" w:type="dxa"/>
              <w:bottom w:w="90" w:type="dxa"/>
              <w:end w:w="120" w:type="dxa"/>
            </w:tcMar>
          </w:tcPr>
          <w:p>
            <w:pPr>
              <w:spacing w:after="0"/>
            </w:pPr>
            <w:r>
              <w:rPr>
                <w:rFonts w:ascii="Calibri" w:hAnsi="Calibri"/>
                <w:b w:val="0"/>
                <w:color w:val="172033"/>
                <w:sz w:val="19"/>
              </w:rPr>
              <w:t>Persistence</w:t>
            </w:r>
          </w:p>
        </w:tc>
        <w:tc>
          <w:tcPr>
            <w:tcW w:type="dxa" w:w="2232"/>
            <w:vAlign w:val="center"/>
            <w:tcMar>
              <w:top w:w="90" w:type="dxa"/>
              <w:start w:w="120" w:type="dxa"/>
              <w:bottom w:w="90" w:type="dxa"/>
              <w:end w:w="120" w:type="dxa"/>
            </w:tcMar>
          </w:tcPr>
          <w:p>
            <w:pPr>
              <w:spacing w:after="0"/>
            </w:pPr>
            <w:r>
              <w:rPr>
                <w:rFonts w:ascii="Calibri" w:hAnsi="Calibri"/>
                <w:b w:val="0"/>
                <w:color w:val="172033"/>
                <w:sz w:val="19"/>
              </w:rPr>
              <w:t>Memory / Supabase</w:t>
            </w:r>
          </w:p>
        </w:tc>
        <w:tc>
          <w:tcPr>
            <w:tcW w:type="dxa" w:w="5616"/>
            <w:vAlign w:val="center"/>
            <w:tcMar>
              <w:top w:w="90" w:type="dxa"/>
              <w:start w:w="120" w:type="dxa"/>
              <w:bottom w:w="90" w:type="dxa"/>
              <w:end w:w="120" w:type="dxa"/>
            </w:tcMar>
          </w:tcPr>
          <w:p>
            <w:pPr>
              <w:spacing w:after="0"/>
            </w:pPr>
            <w:r>
              <w:rPr>
                <w:rFonts w:ascii="Calibri" w:hAnsi="Calibri"/>
                <w:b w:val="0"/>
                <w:color w:val="172033"/>
                <w:sz w:val="19"/>
              </w:rPr>
              <w:t>Demo storage or persistent production storage.</w:t>
            </w:r>
          </w:p>
        </w:tc>
      </w:tr>
      <w:tr>
        <w:tc>
          <w:tcPr>
            <w:tcW w:type="dxa" w:w="1512"/>
            <w:vAlign w:val="center"/>
            <w:tcMar>
              <w:top w:w="90" w:type="dxa"/>
              <w:start w:w="120" w:type="dxa"/>
              <w:bottom w:w="90" w:type="dxa"/>
              <w:end w:w="120" w:type="dxa"/>
            </w:tcMar>
          </w:tcPr>
          <w:p>
            <w:pPr>
              <w:spacing w:after="0"/>
            </w:pPr>
            <w:r>
              <w:rPr>
                <w:rFonts w:ascii="Calibri" w:hAnsi="Calibri"/>
                <w:b w:val="0"/>
                <w:color w:val="172033"/>
                <w:sz w:val="19"/>
              </w:rPr>
              <w:t>AI</w:t>
            </w:r>
          </w:p>
        </w:tc>
        <w:tc>
          <w:tcPr>
            <w:tcW w:type="dxa" w:w="2232"/>
            <w:vAlign w:val="center"/>
            <w:tcMar>
              <w:top w:w="90" w:type="dxa"/>
              <w:start w:w="120" w:type="dxa"/>
              <w:bottom w:w="90" w:type="dxa"/>
              <w:end w:w="120" w:type="dxa"/>
            </w:tcMar>
          </w:tcPr>
          <w:p>
            <w:pPr>
              <w:spacing w:after="0"/>
            </w:pPr>
            <w:r>
              <w:rPr>
                <w:rFonts w:ascii="Calibri" w:hAnsi="Calibri"/>
                <w:b w:val="0"/>
                <w:color w:val="172033"/>
                <w:sz w:val="19"/>
              </w:rPr>
              <w:t>Stub / Gemini adapter</w:t>
            </w:r>
          </w:p>
        </w:tc>
        <w:tc>
          <w:tcPr>
            <w:tcW w:type="dxa" w:w="5616"/>
            <w:vAlign w:val="center"/>
            <w:tcMar>
              <w:top w:w="90" w:type="dxa"/>
              <w:start w:w="120" w:type="dxa"/>
              <w:bottom w:w="90" w:type="dxa"/>
              <w:end w:w="120" w:type="dxa"/>
            </w:tcMar>
          </w:tcPr>
          <w:p>
            <w:pPr>
              <w:spacing w:after="0"/>
            </w:pPr>
            <w:r>
              <w:rPr>
                <w:rFonts w:ascii="Calibri" w:hAnsi="Calibri"/>
                <w:b w:val="0"/>
                <w:color w:val="172033"/>
                <w:sz w:val="19"/>
              </w:rPr>
              <w:t>Deterministic development output or configured AI review.</w:t>
            </w:r>
          </w:p>
        </w:tc>
      </w:tr>
    </w:tbl>
    <w:p>
      <w:pPr>
        <w:pStyle w:val="ListNumber"/>
        <w:spacing w:after="100" w:line="288" w:lineRule="auto"/>
      </w:pPr>
      <w:r>
        <w:rPr>
          <w:rFonts w:ascii="Calibri" w:hAnsi="Calibri"/>
          <w:b w:val="0"/>
          <w:color w:val="172033"/>
          <w:sz w:val="22"/>
        </w:rPr>
        <w:t>The browser creates a persistent anonymous profile identifier.</w:t>
      </w:r>
    </w:p>
    <w:p>
      <w:pPr>
        <w:pStyle w:val="ListNumber"/>
        <w:spacing w:after="100" w:line="288" w:lineRule="auto"/>
      </w:pPr>
      <w:r>
        <w:rPr>
          <w:rFonts w:ascii="Calibri" w:hAnsi="Calibri"/>
          <w:b w:val="0"/>
          <w:color w:val="172033"/>
          <w:sz w:val="22"/>
        </w:rPr>
        <w:t>Onboarding stores goals, fitness level, equipment, schedule, body metrics, and safety notes.</w:t>
      </w:r>
    </w:p>
    <w:p>
      <w:pPr>
        <w:pStyle w:val="ListNumber"/>
        <w:spacing w:after="100" w:line="288" w:lineRule="auto"/>
      </w:pPr>
      <w:r>
        <w:rPr>
          <w:rFonts w:ascii="Calibri" w:hAnsi="Calibri"/>
          <w:b w:val="0"/>
          <w:color w:val="172033"/>
          <w:sz w:val="22"/>
        </w:rPr>
        <w:t>Pose landmarks are estimated and analyzed locally; only derived session summaries are saved.</w:t>
      </w:r>
    </w:p>
    <w:p>
      <w:pPr>
        <w:pStyle w:val="ListNumber"/>
        <w:spacing w:after="100" w:line="288" w:lineRule="auto"/>
      </w:pPr>
      <w:r>
        <w:rPr>
          <w:rFonts w:ascii="Calibri" w:hAnsi="Calibri"/>
          <w:b w:val="0"/>
          <w:color w:val="172033"/>
          <w:sz w:val="22"/>
        </w:rPr>
        <w:t>Meal images are submitted only for an explicit review request.</w:t>
      </w:r>
    </w:p>
    <w:p>
      <w:pPr>
        <w:pStyle w:val="ListNumber"/>
        <w:spacing w:after="100" w:line="288" w:lineRule="auto"/>
      </w:pPr>
      <w:r>
        <w:rPr>
          <w:rFonts w:ascii="Calibri" w:hAnsi="Calibri"/>
          <w:b w:val="0"/>
          <w:color w:val="172033"/>
          <w:sz w:val="22"/>
        </w:rPr>
        <w:t>Progress aggregates saved sessions and diagnostic metadata for the same profile.</w:t>
      </w:r>
    </w:p>
    <w:p>
      <w:pPr>
        <w:pStyle w:val="Heading1"/>
        <w:keepNext/>
      </w:pPr>
      <w:r>
        <w:t>5. Pose Detection and Rep Validation</w:t>
      </w:r>
    </w:p>
    <w:p>
      <w:pPr>
        <w:spacing w:after="160" w:line="300" w:lineRule="auto"/>
      </w:pPr>
      <w:r>
        <w:rPr>
          <w:rFonts w:ascii="Calibri" w:hAnsi="Calibri"/>
          <w:b w:val="0"/>
          <w:color w:val="172033"/>
          <w:sz w:val="22"/>
        </w:rPr>
        <w:t>The original angle-threshold approach was replaced by a conservative temporal state machine. A repetition can advance only while the quality gate remains valid.</w:t>
      </w:r>
    </w:p>
    <w:p>
      <w:pPr>
        <w:pStyle w:val="Heading2"/>
        <w:keepNext/>
      </w:pPr>
      <w:r>
        <w:t>5.1 Quality Gate</w:t>
      </w:r>
    </w:p>
    <w:p>
      <w:pPr>
        <w:pStyle w:val="ListBullet"/>
        <w:spacing w:after="80" w:line="288" w:lineRule="auto"/>
      </w:pPr>
      <w:r>
        <w:rPr>
          <w:rFonts w:ascii="Calibri" w:hAnsi="Calibri"/>
          <w:b w:val="0"/>
          <w:color w:val="172033"/>
          <w:sz w:val="22"/>
        </w:rPr>
        <w:t>Required landmark confidence average of approximately 0.68 or higher.</w:t>
      </w:r>
    </w:p>
    <w:p>
      <w:pPr>
        <w:pStyle w:val="ListBullet"/>
        <w:spacing w:after="80" w:line="288" w:lineRule="auto"/>
      </w:pPr>
      <w:r>
        <w:rPr>
          <w:rFonts w:ascii="Calibri" w:hAnsi="Calibri"/>
          <w:b w:val="0"/>
          <w:color w:val="172033"/>
          <w:sz w:val="22"/>
        </w:rPr>
        <w:t>Several consecutive valid frames before calibration or repetition logic advances.</w:t>
      </w:r>
    </w:p>
    <w:p>
      <w:pPr>
        <w:pStyle w:val="ListBullet"/>
        <w:spacing w:after="80" w:line="288" w:lineRule="auto"/>
      </w:pPr>
      <w:r>
        <w:rPr>
          <w:rFonts w:ascii="Calibri" w:hAnsi="Calibri"/>
          <w:b w:val="0"/>
          <w:color w:val="172033"/>
          <w:sz w:val="22"/>
        </w:rPr>
        <w:t>Body-scale stability to reject meaningful camera-distance changes.</w:t>
      </w:r>
    </w:p>
    <w:p>
      <w:pPr>
        <w:pStyle w:val="ListBullet"/>
        <w:spacing w:after="80" w:line="288" w:lineRule="auto"/>
      </w:pPr>
      <w:r>
        <w:rPr>
          <w:rFonts w:ascii="Calibri" w:hAnsi="Calibri"/>
          <w:b w:val="0"/>
          <w:color w:val="172033"/>
          <w:sz w:val="22"/>
        </w:rPr>
        <w:t>Landmark jitter checks to reject unstable tracking.</w:t>
      </w:r>
    </w:p>
    <w:p>
      <w:pPr>
        <w:pStyle w:val="ListBullet"/>
        <w:spacing w:after="80" w:line="288" w:lineRule="auto"/>
      </w:pPr>
      <w:r>
        <w:rPr>
          <w:rFonts w:ascii="Calibri" w:hAnsi="Calibri"/>
          <w:b w:val="0"/>
          <w:color w:val="172033"/>
          <w:sz w:val="22"/>
        </w:rPr>
        <w:t>Exercise-specific orientation, side consistency, and activity-region checks.</w:t>
      </w:r>
    </w:p>
    <w:p>
      <w:pPr>
        <w:pStyle w:val="ListBullet"/>
        <w:spacing w:after="80" w:line="288" w:lineRule="auto"/>
      </w:pPr>
      <w:r>
        <w:rPr>
          <w:rFonts w:ascii="Calibri" w:hAnsi="Calibri"/>
          <w:b w:val="0"/>
          <w:color w:val="172033"/>
          <w:sz w:val="22"/>
        </w:rPr>
        <w:t>Immediate repetition reset when quality fails mid-repetition.</w:t>
      </w:r>
    </w:p>
    <w:p>
      <w:pPr>
        <w:pStyle w:val="Heading2"/>
        <w:keepNext/>
      </w:pPr>
      <w:r>
        <w:t>5.2 Temporal State Machine</w:t>
      </w:r>
    </w:p>
    <w:p>
      <w:pPr>
        <w:spacing w:after="160" w:line="300" w:lineRule="auto"/>
      </w:pPr>
      <w:r>
        <w:rPr>
          <w:rFonts w:ascii="Calibri" w:hAnsi="Calibri"/>
          <w:b w:val="0"/>
          <w:color w:val="172033"/>
          <w:sz w:val="22"/>
        </w:rPr>
        <w:t>A valid repetition follows a stable top posture, controlled descent, confirmed bottom or depth, controlled ascent, and stable top lockout. Minimum duration, bottom confirmation, and cooldown rules prevent rapid or duplicated counts.</w:t>
      </w:r>
    </w:p>
    <w:p>
      <w:pPr>
        <w:jc w:val="center"/>
      </w:pPr>
      <w:r>
        <w:drawing>
          <wp:inline xmlns:a="http://schemas.openxmlformats.org/drawingml/2006/main" xmlns:pic="http://schemas.openxmlformats.org/drawingml/2006/picture">
            <wp:extent cx="5943600" cy="3797300"/>
            <wp:docPr id="4" name="Picture 4" descr="SHORIR AI live pose coach"/>
            <wp:cNvGraphicFramePr>
              <a:graphicFrameLocks noChangeAspect="1"/>
            </wp:cNvGraphicFramePr>
            <a:graphic>
              <a:graphicData uri="http://schemas.openxmlformats.org/drawingml/2006/picture">
                <pic:pic>
                  <pic:nvPicPr>
                    <pic:cNvPr id="0" name="03-coach.png"/>
                    <pic:cNvPicPr/>
                  </pic:nvPicPr>
                  <pic:blipFill>
                    <a:blip r:embed="rId14"/>
                    <a:stretch>
                      <a:fillRect/>
                    </a:stretch>
                  </pic:blipFill>
                  <pic:spPr>
                    <a:xfrm>
                      <a:off x="0" y="0"/>
                      <a:ext cx="5943600" cy="3797300"/>
                    </a:xfrm>
                    <a:prstGeom prst="rect"/>
                  </pic:spPr>
                </pic:pic>
              </a:graphicData>
            </a:graphic>
          </wp:inline>
        </w:drawing>
      </w:r>
    </w:p>
    <w:p>
      <w:pPr>
        <w:spacing w:after="200"/>
        <w:jc w:val="center"/>
      </w:pPr>
      <w:r>
        <w:rPr>
          <w:rFonts w:ascii="Calibri" w:hAnsi="Calibri"/>
          <w:b w:val="0"/>
          <w:color w:val="68758A"/>
          <w:sz w:val="18"/>
        </w:rPr>
        <w:t>Figure 3. Live squat coach with activity stage, compact readout rail, and hidden detail tabs.</w:t>
      </w:r>
    </w:p>
    <w:p>
      <w:pPr>
        <w:pStyle w:val="Heading1"/>
        <w:keepNext/>
      </w:pPr>
      <w:r>
        <w:t>6. Exercise-Specific Rules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944"/>
            <w:vAlign w:val="center"/>
            <w:shd w:fill="E8EEF5"/>
            <w:tcMar>
              <w:top w:w="90" w:type="dxa"/>
              <w:start w:w="120" w:type="dxa"/>
              <w:bottom w:w="90" w:type="dxa"/>
              <w:end w:w="120" w:type="dxa"/>
            </w:tcMar>
          </w:tcPr>
          <w:p>
            <w:r>
              <w:rPr>
                <w:rFonts w:ascii="Calibri" w:hAnsi="Calibri"/>
                <w:b/>
                <w:color w:val="172033"/>
                <w:sz w:val="19"/>
              </w:rPr>
              <w:t>Exercise</w:t>
            </w:r>
          </w:p>
        </w:tc>
        <w:tc>
          <w:tcPr>
            <w:tcW w:type="dxa" w:w="7416"/>
            <w:vAlign w:val="center"/>
            <w:shd w:fill="E8EEF5"/>
            <w:tcMar>
              <w:top w:w="90" w:type="dxa"/>
              <w:start w:w="120" w:type="dxa"/>
              <w:bottom w:w="90" w:type="dxa"/>
              <w:end w:w="120" w:type="dxa"/>
            </w:tcMar>
          </w:tcPr>
          <w:p>
            <w:r>
              <w:rPr>
                <w:rFonts w:ascii="Calibri" w:hAnsi="Calibri"/>
                <w:b/>
                <w:color w:val="172033"/>
                <w:sz w:val="19"/>
              </w:rPr>
              <w:t>Primary validity rules</w:t>
            </w:r>
          </w:p>
        </w:tc>
      </w:tr>
      <w:tr>
        <w:tc>
          <w:tcPr>
            <w:tcW w:type="dxa" w:w="1944"/>
            <w:vAlign w:val="center"/>
            <w:tcMar>
              <w:top w:w="90" w:type="dxa"/>
              <w:start w:w="120" w:type="dxa"/>
              <w:bottom w:w="90" w:type="dxa"/>
              <w:end w:w="120" w:type="dxa"/>
            </w:tcMar>
          </w:tcPr>
          <w:p>
            <w:pPr>
              <w:spacing w:after="0"/>
            </w:pPr>
            <w:r>
              <w:rPr>
                <w:rFonts w:ascii="Calibri" w:hAnsi="Calibri"/>
                <w:b w:val="0"/>
                <w:color w:val="172033"/>
                <w:sz w:val="19"/>
              </w:rPr>
              <w:t>Squat</w:t>
            </w:r>
          </w:p>
        </w:tc>
        <w:tc>
          <w:tcPr>
            <w:tcW w:type="dxa" w:w="7416"/>
            <w:vAlign w:val="center"/>
            <w:tcMar>
              <w:top w:w="90" w:type="dxa"/>
              <w:start w:w="120" w:type="dxa"/>
              <w:bottom w:w="90" w:type="dxa"/>
              <w:end w:w="120" w:type="dxa"/>
            </w:tcMar>
          </w:tcPr>
          <w:p>
            <w:pPr>
              <w:spacing w:after="0"/>
            </w:pPr>
            <w:r>
              <w:rPr>
                <w:rFonts w:ascii="Calibri" w:hAnsi="Calibri"/>
                <w:b w:val="0"/>
                <w:color w:val="172033"/>
                <w:sz w:val="19"/>
              </w:rPr>
              <w:t>Shoulder, hip, knee, and ankle visibility; side view; knee-angle depth; standing reset.</w:t>
            </w:r>
          </w:p>
        </w:tc>
      </w:tr>
      <w:tr>
        <w:tc>
          <w:tcPr>
            <w:tcW w:type="dxa" w:w="1944"/>
            <w:vAlign w:val="center"/>
            <w:tcMar>
              <w:top w:w="90" w:type="dxa"/>
              <w:start w:w="120" w:type="dxa"/>
              <w:bottom w:w="90" w:type="dxa"/>
              <w:end w:w="120" w:type="dxa"/>
            </w:tcMar>
          </w:tcPr>
          <w:p>
            <w:pPr>
              <w:spacing w:after="0"/>
            </w:pPr>
            <w:r>
              <w:rPr>
                <w:rFonts w:ascii="Calibri" w:hAnsi="Calibri"/>
                <w:b w:val="0"/>
                <w:color w:val="172033"/>
                <w:sz w:val="19"/>
              </w:rPr>
              <w:t>Push-up</w:t>
            </w:r>
          </w:p>
        </w:tc>
        <w:tc>
          <w:tcPr>
            <w:tcW w:type="dxa" w:w="7416"/>
            <w:vAlign w:val="center"/>
            <w:tcMar>
              <w:top w:w="90" w:type="dxa"/>
              <w:start w:w="120" w:type="dxa"/>
              <w:bottom w:w="90" w:type="dxa"/>
              <w:end w:w="120" w:type="dxa"/>
            </w:tcMar>
          </w:tcPr>
          <w:p>
            <w:pPr>
              <w:spacing w:after="0"/>
            </w:pPr>
            <w:r>
              <w:rPr>
                <w:rFonts w:ascii="Calibri" w:hAnsi="Calibri"/>
                <w:b w:val="0"/>
                <w:color w:val="172033"/>
                <w:sz w:val="19"/>
              </w:rPr>
              <w:t>Shoulder, elbow, wrist, hip, and ankle visibility; plank line; wrist alignment; elbow depth; top lockout.</w:t>
            </w:r>
          </w:p>
        </w:tc>
      </w:tr>
      <w:tr>
        <w:tc>
          <w:tcPr>
            <w:tcW w:type="dxa" w:w="1944"/>
            <w:vAlign w:val="center"/>
            <w:tcMar>
              <w:top w:w="90" w:type="dxa"/>
              <w:start w:w="120" w:type="dxa"/>
              <w:bottom w:w="90" w:type="dxa"/>
              <w:end w:w="120" w:type="dxa"/>
            </w:tcMar>
          </w:tcPr>
          <w:p>
            <w:pPr>
              <w:spacing w:after="0"/>
            </w:pPr>
            <w:r>
              <w:rPr>
                <w:rFonts w:ascii="Calibri" w:hAnsi="Calibri"/>
                <w:b w:val="0"/>
                <w:color w:val="172033"/>
                <w:sz w:val="19"/>
              </w:rPr>
              <w:t>Forward lunge</w:t>
            </w:r>
          </w:p>
        </w:tc>
        <w:tc>
          <w:tcPr>
            <w:tcW w:type="dxa" w:w="7416"/>
            <w:vAlign w:val="center"/>
            <w:tcMar>
              <w:top w:w="90" w:type="dxa"/>
              <w:start w:w="120" w:type="dxa"/>
              <w:bottom w:w="90" w:type="dxa"/>
              <w:end w:w="120" w:type="dxa"/>
            </w:tcMar>
          </w:tcPr>
          <w:p>
            <w:pPr>
              <w:spacing w:after="0"/>
            </w:pPr>
            <w:r>
              <w:rPr>
                <w:rFonts w:ascii="Calibri" w:hAnsi="Calibri"/>
                <w:b w:val="0"/>
                <w:color w:val="172033"/>
                <w:sz w:val="19"/>
              </w:rPr>
              <w:t>Split stance, alternating balance, controlled knee depth, stable return, and side-aware calibration.</w:t>
            </w:r>
          </w:p>
        </w:tc>
      </w:tr>
    </w:tbl>
    <w:p>
      <w:pPr>
        <w:spacing w:before="100" w:after="80"/>
        <w:ind w:left="173" w:right="173"/>
        <w:shd w:fill="E9F2FF"/>
      </w:pPr>
      <w:r>
        <w:rPr>
          <w:rFonts w:ascii="Calibri" w:hAnsi="Calibri"/>
          <w:b/>
          <w:color w:val="1467D8"/>
          <w:sz w:val="18"/>
        </w:rPr>
        <w:t>DEPTH LIMITATION</w:t>
      </w:r>
    </w:p>
    <w:p>
      <w:pPr>
        <w:spacing w:after="0" w:line="288" w:lineRule="auto"/>
        <w:ind w:left="173" w:right="173"/>
        <w:shd w:fill="E9F2FF"/>
      </w:pPr>
      <w:r>
        <w:rPr>
          <w:rFonts w:ascii="Calibri" w:hAnsi="Calibri"/>
          <w:b/>
          <w:color w:val="172033"/>
          <w:sz w:val="22"/>
        </w:rPr>
        <w:t>This is monocular tracking. Depth means relative MediaPipe z and body-scale estimation, not physical depth-sensor measurement.</w:t>
      </w:r>
    </w:p>
    <w:p>
      <w:pPr>
        <w:spacing w:after="40"/>
      </w:pPr>
    </w:p>
    <w:p>
      <w:pPr>
        <w:pStyle w:val="Heading1"/>
        <w:keepNext/>
      </w:pPr>
      <w:r>
        <w:t>7. Nutrition and Meal Review</w:t>
      </w:r>
    </w:p>
    <w:p>
      <w:pPr>
        <w:spacing w:after="160" w:line="300" w:lineRule="auto"/>
      </w:pPr>
      <w:r>
        <w:rPr>
          <w:rFonts w:ascii="Calibri" w:hAnsi="Calibri"/>
          <w:b w:val="0"/>
          <w:color w:val="172033"/>
          <w:sz w:val="22"/>
        </w:rPr>
        <w:t>The diet chart calculates an estimated target from age, gender, height, current weight, and target weight when those values are available. It then scales familiar meal templates across breakfast, lunch, and dinner. Without complete body metrics, the system provides a more general fitness-level estimate.</w:t>
      </w:r>
    </w:p>
    <w:p>
      <w:pPr>
        <w:pStyle w:val="ListBullet"/>
        <w:spacing w:after="80" w:line="288" w:lineRule="auto"/>
      </w:pPr>
      <w:r>
        <w:rPr>
          <w:rFonts w:ascii="Calibri" w:hAnsi="Calibri"/>
          <w:b w:val="0"/>
          <w:color w:val="172033"/>
          <w:sz w:val="22"/>
        </w:rPr>
        <w:t>Local meal images and portions improve recognizability.</w:t>
      </w:r>
    </w:p>
    <w:p>
      <w:pPr>
        <w:pStyle w:val="ListBullet"/>
        <w:spacing w:after="80" w:line="288" w:lineRule="auto"/>
      </w:pPr>
      <w:r>
        <w:rPr>
          <w:rFonts w:ascii="Calibri" w:hAnsi="Calibri"/>
          <w:b w:val="0"/>
          <w:color w:val="172033"/>
          <w:sz w:val="22"/>
        </w:rPr>
        <w:t>Calorie and macro values are planning estimates, not clinical prescriptions.</w:t>
      </w:r>
    </w:p>
    <w:p>
      <w:pPr>
        <w:pStyle w:val="ListBullet"/>
        <w:spacing w:after="80" w:line="288" w:lineRule="auto"/>
      </w:pPr>
      <w:r>
        <w:rPr>
          <w:rFonts w:ascii="Calibri" w:hAnsi="Calibri"/>
          <w:b w:val="0"/>
          <w:color w:val="172033"/>
          <w:sz w:val="22"/>
        </w:rPr>
        <w:t>The calorie-check workflow supports desktop upload and QR-based phone capture.</w:t>
      </w:r>
    </w:p>
    <w:p>
      <w:pPr>
        <w:pStyle w:val="ListBullet"/>
        <w:spacing w:after="80" w:line="288" w:lineRule="auto"/>
      </w:pPr>
      <w:r>
        <w:rPr>
          <w:rFonts w:ascii="Calibri" w:hAnsi="Calibri"/>
          <w:b w:val="0"/>
          <w:color w:val="172033"/>
          <w:sz w:val="22"/>
        </w:rPr>
        <w:t>The AI response is structured and cautious, with uncertainty and next-step guidance.</w:t>
      </w:r>
    </w:p>
    <w:p>
      <w:pPr>
        <w:jc w:val="center"/>
      </w:pPr>
      <w:r>
        <w:drawing>
          <wp:inline xmlns:a="http://schemas.openxmlformats.org/drawingml/2006/main" xmlns:pic="http://schemas.openxmlformats.org/drawingml/2006/picture">
            <wp:extent cx="5943600" cy="3797300"/>
            <wp:docPr id="5" name="Picture 5" descr="SHORIR AI calorie check"/>
            <wp:cNvGraphicFramePr>
              <a:graphicFrameLocks noChangeAspect="1"/>
            </wp:cNvGraphicFramePr>
            <a:graphic>
              <a:graphicData uri="http://schemas.openxmlformats.org/drawingml/2006/picture">
                <pic:pic>
                  <pic:nvPicPr>
                    <pic:cNvPr id="0" name="06-calorie.png"/>
                    <pic:cNvPicPr/>
                  </pic:nvPicPr>
                  <pic:blipFill>
                    <a:blip r:embed="rId15"/>
                    <a:stretch>
                      <a:fillRect/>
                    </a:stretch>
                  </pic:blipFill>
                  <pic:spPr>
                    <a:xfrm>
                      <a:off x="0" y="0"/>
                      <a:ext cx="5943600" cy="3797300"/>
                    </a:xfrm>
                    <a:prstGeom prst="rect"/>
                  </pic:spPr>
                </pic:pic>
              </a:graphicData>
            </a:graphic>
          </wp:inline>
        </w:drawing>
      </w:r>
    </w:p>
    <w:p>
      <w:pPr>
        <w:spacing w:after="200"/>
        <w:jc w:val="center"/>
      </w:pPr>
      <w:r>
        <w:rPr>
          <w:rFonts w:ascii="Calibri" w:hAnsi="Calibri"/>
          <w:b w:val="0"/>
          <w:color w:val="68758A"/>
          <w:sz w:val="18"/>
        </w:rPr>
        <w:t>Figure 4. Calorie-check workflow with desktop and phone-capture entry points.</w:t>
      </w:r>
    </w:p>
    <w:p>
      <w:pPr>
        <w:pStyle w:val="Heading1"/>
        <w:keepNext/>
      </w:pPr>
      <w:r>
        <w:t>8. Privacy, Safety, and Ethics</w:t>
      </w:r>
    </w:p>
    <w:p>
      <w:pPr>
        <w:pStyle w:val="ListBullet"/>
        <w:spacing w:after="80" w:line="288" w:lineRule="auto"/>
      </w:pPr>
      <w:r>
        <w:rPr>
          <w:rFonts w:ascii="Calibri" w:hAnsi="Calibri"/>
          <w:b w:val="0"/>
          <w:color w:val="172033"/>
          <w:sz w:val="22"/>
        </w:rPr>
        <w:t>Raw pose frames are not uploaded to the API.</w:t>
      </w:r>
    </w:p>
    <w:p>
      <w:pPr>
        <w:pStyle w:val="ListBullet"/>
        <w:spacing w:after="80" w:line="288" w:lineRule="auto"/>
      </w:pPr>
      <w:r>
        <w:rPr>
          <w:rFonts w:ascii="Calibri" w:hAnsi="Calibri"/>
          <w:b w:val="0"/>
          <w:color w:val="172033"/>
          <w:sz w:val="22"/>
        </w:rPr>
        <w:t>Phone pose video travels through encrypted peer-to-peer WebRTC when available.</w:t>
      </w:r>
    </w:p>
    <w:p>
      <w:pPr>
        <w:pStyle w:val="ListBullet"/>
        <w:spacing w:after="80" w:line="288" w:lineRule="auto"/>
      </w:pPr>
      <w:r>
        <w:rPr>
          <w:rFonts w:ascii="Calibri" w:hAnsi="Calibri"/>
          <w:b w:val="0"/>
          <w:color w:val="172033"/>
          <w:sz w:val="22"/>
        </w:rPr>
        <w:t>The API stores temporary signaling metadata, not continuous video.</w:t>
      </w:r>
    </w:p>
    <w:p>
      <w:pPr>
        <w:pStyle w:val="ListBullet"/>
        <w:spacing w:after="80" w:line="288" w:lineRule="auto"/>
      </w:pPr>
      <w:r>
        <w:rPr>
          <w:rFonts w:ascii="Calibri" w:hAnsi="Calibri"/>
          <w:b w:val="0"/>
          <w:color w:val="172033"/>
          <w:sz w:val="22"/>
        </w:rPr>
        <w:t>Safety flags influence workout guidance and are visible in the interface.</w:t>
      </w:r>
    </w:p>
    <w:p>
      <w:pPr>
        <w:pStyle w:val="ListBullet"/>
        <w:spacing w:after="80" w:line="288" w:lineRule="auto"/>
      </w:pPr>
      <w:r>
        <w:rPr>
          <w:rFonts w:ascii="Calibri" w:hAnsi="Calibri"/>
          <w:b w:val="0"/>
          <w:color w:val="172033"/>
          <w:sz w:val="22"/>
        </w:rPr>
        <w:t>The product does not diagnose injury or replace medical or nutritional professionals.</w:t>
      </w:r>
    </w:p>
    <w:p>
      <w:pPr>
        <w:pStyle w:val="ListBullet"/>
        <w:spacing w:after="80" w:line="288" w:lineRule="auto"/>
      </w:pPr>
      <w:r>
        <w:rPr>
          <w:rFonts w:ascii="Calibri" w:hAnsi="Calibri"/>
          <w:b w:val="0"/>
          <w:color w:val="172033"/>
          <w:sz w:val="22"/>
        </w:rPr>
        <w:t>Users are instructed to stop when movement causes pain.</w:t>
      </w:r>
    </w:p>
    <w:p>
      <w:pPr>
        <w:pStyle w:val="Heading1"/>
        <w:keepNext/>
      </w:pPr>
      <w:r>
        <w:t>9. Verification</w:t>
      </w:r>
    </w:p>
    <w:p>
      <w:pPr>
        <w:spacing w:after="160" w:line="300" w:lineRule="auto"/>
      </w:pPr>
      <w:r>
        <w:rPr>
          <w:rFonts w:ascii="Calibri" w:hAnsi="Calibri"/>
          <w:b w:val="0"/>
          <w:color w:val="172033"/>
          <w:sz w:val="22"/>
        </w:rPr>
        <w:t>The repository includes unit tests for daily planning, exercise content, camera geometry, coaching language, pose analysis, and progress diagnostics. The release gate runs type checking, linting, unit tests, and production builds across the monorepo.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4320"/>
            <w:vAlign w:val="center"/>
            <w:shd w:fill="E8EEF5"/>
            <w:tcMar>
              <w:top w:w="90" w:type="dxa"/>
              <w:start w:w="120" w:type="dxa"/>
              <w:bottom w:w="90" w:type="dxa"/>
              <w:end w:w="120" w:type="dxa"/>
            </w:tcMar>
          </w:tcPr>
          <w:p>
            <w:r>
              <w:rPr>
                <w:rFonts w:ascii="Calibri" w:hAnsi="Calibri"/>
                <w:b/>
                <w:color w:val="172033"/>
                <w:sz w:val="19"/>
              </w:rPr>
              <w:t>Acceptance scenario</w:t>
            </w:r>
          </w:p>
        </w:tc>
        <w:tc>
          <w:tcPr>
            <w:tcW w:type="dxa" w:w="5040"/>
            <w:vAlign w:val="center"/>
            <w:shd w:fill="E8EEF5"/>
            <w:tcMar>
              <w:top w:w="90" w:type="dxa"/>
              <w:start w:w="120" w:type="dxa"/>
              <w:bottom w:w="90" w:type="dxa"/>
              <w:end w:w="120" w:type="dxa"/>
            </w:tcMar>
          </w:tcPr>
          <w:p>
            <w:r>
              <w:rPr>
                <w:rFonts w:ascii="Calibri" w:hAnsi="Calibri"/>
                <w:b/>
                <w:color w:val="172033"/>
                <w:sz w:val="19"/>
              </w:rPr>
              <w:t>Expected result</w:t>
            </w:r>
          </w:p>
        </w:tc>
      </w:tr>
      <w:tr>
        <w:tc>
          <w:tcPr>
            <w:tcW w:type="dxa" w:w="4320"/>
            <w:vAlign w:val="center"/>
            <w:tcMar>
              <w:top w:w="90" w:type="dxa"/>
              <w:start w:w="120" w:type="dxa"/>
              <w:bottom w:w="90" w:type="dxa"/>
              <w:end w:w="120" w:type="dxa"/>
            </w:tcMar>
          </w:tcPr>
          <w:p>
            <w:pPr>
              <w:spacing w:after="0"/>
            </w:pPr>
            <w:r>
              <w:rPr>
                <w:rFonts w:ascii="Calibri" w:hAnsi="Calibri"/>
                <w:b w:val="0"/>
                <w:color w:val="172033"/>
                <w:sz w:val="19"/>
              </w:rPr>
              <w:t>Five valid squats</w:t>
            </w:r>
          </w:p>
        </w:tc>
        <w:tc>
          <w:tcPr>
            <w:tcW w:type="dxa" w:w="5040"/>
            <w:vAlign w:val="center"/>
            <w:tcMar>
              <w:top w:w="90" w:type="dxa"/>
              <w:start w:w="120" w:type="dxa"/>
              <w:bottom w:w="90" w:type="dxa"/>
              <w:end w:w="120" w:type="dxa"/>
            </w:tcMar>
          </w:tcPr>
          <w:p>
            <w:pPr>
              <w:spacing w:after="0"/>
            </w:pPr>
            <w:r>
              <w:rPr>
                <w:rFonts w:ascii="Calibri" w:hAnsi="Calibri"/>
                <w:b w:val="0"/>
                <w:color w:val="172033"/>
                <w:sz w:val="19"/>
              </w:rPr>
              <w:t>Exactly five repetitions; no duplicates.</w:t>
            </w:r>
          </w:p>
        </w:tc>
      </w:tr>
      <w:tr>
        <w:tc>
          <w:tcPr>
            <w:tcW w:type="dxa" w:w="4320"/>
            <w:vAlign w:val="center"/>
            <w:tcMar>
              <w:top w:w="90" w:type="dxa"/>
              <w:start w:w="120" w:type="dxa"/>
              <w:bottom w:w="90" w:type="dxa"/>
              <w:end w:w="120" w:type="dxa"/>
            </w:tcMar>
          </w:tcPr>
          <w:p>
            <w:pPr>
              <w:spacing w:after="0"/>
            </w:pPr>
            <w:r>
              <w:rPr>
                <w:rFonts w:ascii="Calibri" w:hAnsi="Calibri"/>
                <w:b w:val="0"/>
                <w:color w:val="172033"/>
                <w:sz w:val="19"/>
              </w:rPr>
              <w:t>Five valid push-ups</w:t>
            </w:r>
          </w:p>
        </w:tc>
        <w:tc>
          <w:tcPr>
            <w:tcW w:type="dxa" w:w="5040"/>
            <w:vAlign w:val="center"/>
            <w:tcMar>
              <w:top w:w="90" w:type="dxa"/>
              <w:start w:w="120" w:type="dxa"/>
              <w:bottom w:w="90" w:type="dxa"/>
              <w:end w:w="120" w:type="dxa"/>
            </w:tcMar>
          </w:tcPr>
          <w:p>
            <w:pPr>
              <w:spacing w:after="0"/>
            </w:pPr>
            <w:r>
              <w:rPr>
                <w:rFonts w:ascii="Calibri" w:hAnsi="Calibri"/>
                <w:b w:val="0"/>
                <w:color w:val="172033"/>
                <w:sz w:val="19"/>
              </w:rPr>
              <w:t>Exactly five repetitions; no extras.</w:t>
            </w:r>
          </w:p>
        </w:tc>
      </w:tr>
      <w:tr>
        <w:tc>
          <w:tcPr>
            <w:tcW w:type="dxa" w:w="4320"/>
            <w:vAlign w:val="center"/>
            <w:tcMar>
              <w:top w:w="90" w:type="dxa"/>
              <w:start w:w="120" w:type="dxa"/>
              <w:bottom w:w="90" w:type="dxa"/>
              <w:end w:w="120" w:type="dxa"/>
            </w:tcMar>
          </w:tcPr>
          <w:p>
            <w:pPr>
              <w:spacing w:after="0"/>
            </w:pPr>
            <w:r>
              <w:rPr>
                <w:rFonts w:ascii="Calibri" w:hAnsi="Calibri"/>
                <w:b w:val="0"/>
                <w:color w:val="172033"/>
                <w:sz w:val="19"/>
              </w:rPr>
              <w:t>Arm waving or walking</w:t>
            </w:r>
          </w:p>
        </w:tc>
        <w:tc>
          <w:tcPr>
            <w:tcW w:type="dxa" w:w="5040"/>
            <w:vAlign w:val="center"/>
            <w:tcMar>
              <w:top w:w="90" w:type="dxa"/>
              <w:start w:w="120" w:type="dxa"/>
              <w:bottom w:w="90" w:type="dxa"/>
              <w:end w:w="120" w:type="dxa"/>
            </w:tcMar>
          </w:tcPr>
          <w:p>
            <w:pPr>
              <w:spacing w:after="0"/>
            </w:pPr>
            <w:r>
              <w:rPr>
                <w:rFonts w:ascii="Calibri" w:hAnsi="Calibri"/>
                <w:b w:val="0"/>
                <w:color w:val="172033"/>
                <w:sz w:val="19"/>
              </w:rPr>
              <w:t>Zero repetitions.</w:t>
            </w:r>
          </w:p>
        </w:tc>
      </w:tr>
      <w:tr>
        <w:tc>
          <w:tcPr>
            <w:tcW w:type="dxa" w:w="4320"/>
            <w:vAlign w:val="center"/>
            <w:tcMar>
              <w:top w:w="90" w:type="dxa"/>
              <w:start w:w="120" w:type="dxa"/>
              <w:bottom w:w="90" w:type="dxa"/>
              <w:end w:w="120" w:type="dxa"/>
            </w:tcMar>
          </w:tcPr>
          <w:p>
            <w:pPr>
              <w:spacing w:after="0"/>
            </w:pPr>
            <w:r>
              <w:rPr>
                <w:rFonts w:ascii="Calibri" w:hAnsi="Calibri"/>
                <w:b w:val="0"/>
                <w:color w:val="172033"/>
                <w:sz w:val="19"/>
              </w:rPr>
              <w:t>Partial crouches</w:t>
            </w:r>
          </w:p>
        </w:tc>
        <w:tc>
          <w:tcPr>
            <w:tcW w:type="dxa" w:w="5040"/>
            <w:vAlign w:val="center"/>
            <w:tcMar>
              <w:top w:w="90" w:type="dxa"/>
              <w:start w:w="120" w:type="dxa"/>
              <w:bottom w:w="90" w:type="dxa"/>
              <w:end w:w="120" w:type="dxa"/>
            </w:tcMar>
          </w:tcPr>
          <w:p>
            <w:pPr>
              <w:spacing w:after="0"/>
            </w:pPr>
            <w:r>
              <w:rPr>
                <w:rFonts w:ascii="Calibri" w:hAnsi="Calibri"/>
                <w:b w:val="0"/>
                <w:color w:val="172033"/>
                <w:sz w:val="19"/>
              </w:rPr>
              <w:t>Zero squat repetitions.</w:t>
            </w:r>
          </w:p>
        </w:tc>
      </w:tr>
      <w:tr>
        <w:tc>
          <w:tcPr>
            <w:tcW w:type="dxa" w:w="4320"/>
            <w:vAlign w:val="center"/>
            <w:tcMar>
              <w:top w:w="90" w:type="dxa"/>
              <w:start w:w="120" w:type="dxa"/>
              <w:bottom w:w="90" w:type="dxa"/>
              <w:end w:w="120" w:type="dxa"/>
            </w:tcMar>
          </w:tcPr>
          <w:p>
            <w:pPr>
              <w:spacing w:after="0"/>
            </w:pPr>
            <w:r>
              <w:rPr>
                <w:rFonts w:ascii="Calibri" w:hAnsi="Calibri"/>
                <w:b w:val="0"/>
                <w:color w:val="172033"/>
                <w:sz w:val="19"/>
              </w:rPr>
              <w:t>Plank shifting or hip sag</w:t>
            </w:r>
          </w:p>
        </w:tc>
        <w:tc>
          <w:tcPr>
            <w:tcW w:type="dxa" w:w="5040"/>
            <w:vAlign w:val="center"/>
            <w:tcMar>
              <w:top w:w="90" w:type="dxa"/>
              <w:start w:w="120" w:type="dxa"/>
              <w:bottom w:w="90" w:type="dxa"/>
              <w:end w:w="120" w:type="dxa"/>
            </w:tcMar>
          </w:tcPr>
          <w:p>
            <w:pPr>
              <w:spacing w:after="0"/>
            </w:pPr>
            <w:r>
              <w:rPr>
                <w:rFonts w:ascii="Calibri" w:hAnsi="Calibri"/>
                <w:b w:val="0"/>
                <w:color w:val="172033"/>
                <w:sz w:val="19"/>
              </w:rPr>
              <w:t>Zero push-up repetitions.</w:t>
            </w:r>
          </w:p>
        </w:tc>
      </w:tr>
      <w:tr>
        <w:tc>
          <w:tcPr>
            <w:tcW w:type="dxa" w:w="4320"/>
            <w:vAlign w:val="center"/>
            <w:tcMar>
              <w:top w:w="90" w:type="dxa"/>
              <w:start w:w="120" w:type="dxa"/>
              <w:bottom w:w="90" w:type="dxa"/>
              <w:end w:w="120" w:type="dxa"/>
            </w:tcMar>
          </w:tcPr>
          <w:p>
            <w:pPr>
              <w:spacing w:after="0"/>
            </w:pPr>
            <w:r>
              <w:rPr>
                <w:rFonts w:ascii="Calibri" w:hAnsi="Calibri"/>
                <w:b w:val="0"/>
                <w:color w:val="172033"/>
                <w:sz w:val="19"/>
              </w:rPr>
              <w:t>Camera movement</w:t>
            </w:r>
          </w:p>
        </w:tc>
        <w:tc>
          <w:tcPr>
            <w:tcW w:type="dxa" w:w="5040"/>
            <w:vAlign w:val="center"/>
            <w:tcMar>
              <w:top w:w="90" w:type="dxa"/>
              <w:start w:w="120" w:type="dxa"/>
              <w:bottom w:w="90" w:type="dxa"/>
              <w:end w:w="120" w:type="dxa"/>
            </w:tcMar>
          </w:tcPr>
          <w:p>
            <w:pPr>
              <w:spacing w:after="0"/>
            </w:pPr>
            <w:r>
              <w:rPr>
                <w:rFonts w:ascii="Calibri" w:hAnsi="Calibri"/>
                <w:b w:val="0"/>
                <w:color w:val="172033"/>
                <w:sz w:val="19"/>
              </w:rPr>
              <w:t>Repetition resets and UI explains the pause.</w:t>
            </w:r>
          </w:p>
        </w:tc>
      </w:tr>
    </w:tbl>
    <w:p>
      <w:pPr>
        <w:pStyle w:val="Heading1"/>
        <w:keepNext/>
      </w:pPr>
      <w:r>
        <w:t>10. Deployment and Operations</w:t>
      </w:r>
    </w:p>
    <w:p>
      <w:pPr>
        <w:spacing w:after="160" w:line="300" w:lineRule="auto"/>
      </w:pPr>
      <w:r>
        <w:rPr>
          <w:rFonts w:ascii="Calibri" w:hAnsi="Calibri"/>
          <w:b w:val="0"/>
          <w:color w:val="172033"/>
          <w:sz w:val="22"/>
        </w:rPr>
        <w:t>The production configuration builds the full monorepo and starts the Express API. In production, Express serves the compiled Vite application and provides a single-page fallback for deep links. The API health endpoint at /api/health is used for Railway health checks.</w:t>
      </w:r>
    </w:p>
    <w:p>
      <w:pPr>
        <w:pStyle w:val="ListBullet"/>
        <w:spacing w:after="80" w:line="288" w:lineRule="auto"/>
      </w:pPr>
      <w:r>
        <w:rPr>
          <w:rFonts w:ascii="Calibri" w:hAnsi="Calibri"/>
          <w:b w:val="0"/>
          <w:color w:val="172033"/>
          <w:sz w:val="22"/>
        </w:rPr>
        <w:t>Runtime: Node.js 20 or later and PNPM 9.</w:t>
      </w:r>
    </w:p>
    <w:p>
      <w:pPr>
        <w:pStyle w:val="ListBullet"/>
        <w:spacing w:after="80" w:line="288" w:lineRule="auto"/>
      </w:pPr>
      <w:r>
        <w:rPr>
          <w:rFonts w:ascii="Calibri" w:hAnsi="Calibri"/>
          <w:b w:val="0"/>
          <w:color w:val="172033"/>
          <w:sz w:val="22"/>
        </w:rPr>
        <w:t>Railway configuration: Railpack builder, root build, root start, health check, and restart policy.</w:t>
      </w:r>
    </w:p>
    <w:p>
      <w:pPr>
        <w:pStyle w:val="ListBullet"/>
        <w:spacing w:after="80" w:line="288" w:lineRule="auto"/>
      </w:pPr>
      <w:r>
        <w:rPr>
          <w:rFonts w:ascii="Calibri" w:hAnsi="Calibri"/>
          <w:b w:val="0"/>
          <w:color w:val="172033"/>
          <w:sz w:val="22"/>
        </w:rPr>
        <w:t>Default demo adapters: in-memory persistence and deterministic stub AI.</w:t>
      </w:r>
    </w:p>
    <w:p>
      <w:pPr>
        <w:pStyle w:val="ListBullet"/>
        <w:spacing w:after="80" w:line="288" w:lineRule="auto"/>
      </w:pPr>
      <w:r>
        <w:rPr>
          <w:rFonts w:ascii="Calibri" w:hAnsi="Calibri"/>
          <w:b w:val="0"/>
          <w:color w:val="172033"/>
          <w:sz w:val="22"/>
        </w:rPr>
        <w:t>Production persistence option: Supabase with environment configuration.</w:t>
      </w:r>
    </w:p>
    <w:p>
      <w:pPr>
        <w:pStyle w:val="ListBullet"/>
        <w:spacing w:after="80" w:line="288" w:lineRule="auto"/>
      </w:pPr>
      <w:r>
        <w:rPr>
          <w:rFonts w:ascii="Calibri" w:hAnsi="Calibri"/>
          <w:b w:val="0"/>
          <w:color w:val="172033"/>
          <w:sz w:val="22"/>
        </w:rPr>
        <w:t>Production AI option: Gemini using API key or application-default credentials.</w:t>
      </w:r>
    </w:p>
    <w:p>
      <w:pPr>
        <w:pStyle w:val="Heading1"/>
        <w:keepNext/>
      </w:pPr>
      <w:r>
        <w:t>11. Limitations and Future Work</w:t>
      </w:r>
    </w:p>
    <w:p>
      <w:pPr>
        <w:pStyle w:val="ListBullet"/>
        <w:spacing w:after="80" w:line="288" w:lineRule="auto"/>
      </w:pPr>
      <w:r>
        <w:rPr>
          <w:rFonts w:ascii="Calibri" w:hAnsi="Calibri"/>
          <w:b w:val="0"/>
          <w:color w:val="172033"/>
          <w:sz w:val="22"/>
        </w:rPr>
        <w:t>Broader real-device calibration is required across body shapes, clothing, lighting, and camera placements.</w:t>
      </w:r>
    </w:p>
    <w:p>
      <w:pPr>
        <w:pStyle w:val="ListBullet"/>
        <w:spacing w:after="80" w:line="288" w:lineRule="auto"/>
      </w:pPr>
      <w:r>
        <w:rPr>
          <w:rFonts w:ascii="Calibri" w:hAnsi="Calibri"/>
          <w:b w:val="0"/>
          <w:color w:val="172033"/>
          <w:sz w:val="22"/>
        </w:rPr>
        <w:t>Monocular body scale cannot provide true physical depth.</w:t>
      </w:r>
    </w:p>
    <w:p>
      <w:pPr>
        <w:pStyle w:val="ListBullet"/>
        <w:spacing w:after="80" w:line="288" w:lineRule="auto"/>
      </w:pPr>
      <w:r>
        <w:rPr>
          <w:rFonts w:ascii="Calibri" w:hAnsi="Calibri"/>
          <w:b w:val="0"/>
          <w:color w:val="172033"/>
          <w:sz w:val="22"/>
        </w:rPr>
        <w:t>WebRTC reliability at scale requires TURN and shared signaling storage.</w:t>
      </w:r>
    </w:p>
    <w:p>
      <w:pPr>
        <w:pStyle w:val="ListBullet"/>
        <w:spacing w:after="80" w:line="288" w:lineRule="auto"/>
      </w:pPr>
      <w:r>
        <w:rPr>
          <w:rFonts w:ascii="Calibri" w:hAnsi="Calibri"/>
          <w:b w:val="0"/>
          <w:color w:val="172033"/>
          <w:sz w:val="22"/>
        </w:rPr>
        <w:t>The memory database resets when the service restarts.</w:t>
      </w:r>
    </w:p>
    <w:p>
      <w:pPr>
        <w:pStyle w:val="ListBullet"/>
        <w:spacing w:after="80" w:line="288" w:lineRule="auto"/>
      </w:pPr>
      <w:r>
        <w:rPr>
          <w:rFonts w:ascii="Calibri" w:hAnsi="Calibri"/>
          <w:b w:val="0"/>
          <w:color w:val="172033"/>
          <w:sz w:val="22"/>
        </w:rPr>
        <w:t>Meal recognition quality depends on the configured AI adapter and image quality.</w:t>
      </w:r>
    </w:p>
    <w:p>
      <w:pPr>
        <w:pStyle w:val="ListBullet"/>
        <w:spacing w:after="80" w:line="288" w:lineRule="auto"/>
      </w:pPr>
      <w:r>
        <w:rPr>
          <w:rFonts w:ascii="Calibri" w:hAnsi="Calibri"/>
          <w:b w:val="0"/>
          <w:color w:val="172033"/>
          <w:sz w:val="22"/>
        </w:rPr>
        <w:t>Future safety guidance should be reviewed with qualified fitness and health professionals.</w:t>
      </w:r>
    </w:p>
    <w:p>
      <w:pPr>
        <w:pStyle w:val="Heading1"/>
        <w:keepNext/>
      </w:pPr>
      <w:r>
        <w:t>12. Repository and Submission</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592"/>
            <w:vAlign w:val="center"/>
            <w:shd w:fill="E8EEF5"/>
            <w:tcMar>
              <w:top w:w="90" w:type="dxa"/>
              <w:start w:w="120" w:type="dxa"/>
              <w:bottom w:w="90" w:type="dxa"/>
              <w:end w:w="120" w:type="dxa"/>
            </w:tcMar>
          </w:tcPr>
          <w:p>
            <w:r>
              <w:rPr>
                <w:rFonts w:ascii="Calibri" w:hAnsi="Calibri"/>
                <w:b/>
                <w:color w:val="172033"/>
                <w:sz w:val="19"/>
              </w:rPr>
              <w:t>Deliverable</w:t>
            </w:r>
          </w:p>
        </w:tc>
        <w:tc>
          <w:tcPr>
            <w:tcW w:type="dxa" w:w="6768"/>
            <w:vAlign w:val="center"/>
            <w:shd w:fill="E8EEF5"/>
            <w:tcMar>
              <w:top w:w="90" w:type="dxa"/>
              <w:start w:w="120" w:type="dxa"/>
              <w:bottom w:w="90" w:type="dxa"/>
              <w:end w:w="120" w:type="dxa"/>
            </w:tcMar>
          </w:tcPr>
          <w:p>
            <w:r>
              <w:rPr>
                <w:rFonts w:ascii="Calibri" w:hAnsi="Calibri"/>
                <w:b/>
                <w:color w:val="172033"/>
                <w:sz w:val="19"/>
              </w:rPr>
              <w:t>Location</w:t>
            </w:r>
          </w:p>
        </w:tc>
      </w:tr>
      <w:tr>
        <w:tc>
          <w:tcPr>
            <w:tcW w:type="dxa" w:w="2592"/>
            <w:vAlign w:val="center"/>
            <w:tcMar>
              <w:top w:w="90" w:type="dxa"/>
              <w:start w:w="120" w:type="dxa"/>
              <w:bottom w:w="90" w:type="dxa"/>
              <w:end w:w="120" w:type="dxa"/>
            </w:tcMar>
          </w:tcPr>
          <w:p>
            <w:pPr>
              <w:spacing w:after="0"/>
            </w:pPr>
            <w:r>
              <w:rPr>
                <w:rFonts w:ascii="Calibri" w:hAnsi="Calibri"/>
                <w:b w:val="0"/>
                <w:color w:val="172033"/>
                <w:sz w:val="19"/>
              </w:rPr>
              <w:t>Live website</w:t>
            </w:r>
          </w:p>
        </w:tc>
        <w:tc>
          <w:tcPr>
            <w:tcW w:type="dxa" w:w="6768"/>
            <w:vAlign w:val="center"/>
            <w:tcMar>
              <w:top w:w="90" w:type="dxa"/>
              <w:start w:w="120" w:type="dxa"/>
              <w:bottom w:w="90" w:type="dxa"/>
              <w:end w:w="120" w:type="dxa"/>
            </w:tcMar>
          </w:tcPr>
          <w:p>
            <w:pPr>
              <w:spacing w:after="0"/>
            </w:pPr>
            <w:r>
              <w:rPr>
                <w:rFonts w:ascii="Calibri" w:hAnsi="Calibri"/>
                <w:b w:val="0"/>
                <w:color w:val="172033"/>
                <w:sz w:val="19"/>
              </w:rPr>
              <w:t>https://shorir-ai-production.up.railway.app</w:t>
            </w:r>
          </w:p>
        </w:tc>
      </w:tr>
      <w:tr>
        <w:tc>
          <w:tcPr>
            <w:tcW w:type="dxa" w:w="2592"/>
            <w:vAlign w:val="center"/>
            <w:tcMar>
              <w:top w:w="90" w:type="dxa"/>
              <w:start w:w="120" w:type="dxa"/>
              <w:bottom w:w="90" w:type="dxa"/>
              <w:end w:w="120" w:type="dxa"/>
            </w:tcMar>
          </w:tcPr>
          <w:p>
            <w:pPr>
              <w:spacing w:after="0"/>
            </w:pPr>
            <w:r>
              <w:rPr>
                <w:rFonts w:ascii="Calibri" w:hAnsi="Calibri"/>
                <w:b w:val="0"/>
                <w:color w:val="172033"/>
                <w:sz w:val="19"/>
              </w:rPr>
              <w:t>Demo sequence</w:t>
            </w:r>
          </w:p>
        </w:tc>
        <w:tc>
          <w:tcPr>
            <w:tcW w:type="dxa" w:w="6768"/>
            <w:vAlign w:val="center"/>
            <w:tcMar>
              <w:top w:w="90" w:type="dxa"/>
              <w:start w:w="120" w:type="dxa"/>
              <w:bottom w:w="90" w:type="dxa"/>
              <w:end w:w="120" w:type="dxa"/>
            </w:tcMar>
          </w:tcPr>
          <w:p>
            <w:pPr>
              <w:spacing w:after="0"/>
            </w:pPr>
            <w:r>
              <w:rPr>
                <w:rFonts w:ascii="Calibri" w:hAnsi="Calibri"/>
                <w:b w:val="0"/>
                <w:color w:val="172033"/>
                <w:sz w:val="19"/>
              </w:rPr>
              <w:t>deliverables/SHORIR_AI_Demo_Sequence.md</w:t>
            </w:r>
          </w:p>
        </w:tc>
      </w:tr>
      <w:tr>
        <w:tc>
          <w:tcPr>
            <w:tcW w:type="dxa" w:w="2592"/>
            <w:vAlign w:val="center"/>
            <w:tcMar>
              <w:top w:w="90" w:type="dxa"/>
              <w:start w:w="120" w:type="dxa"/>
              <w:bottom w:w="90" w:type="dxa"/>
              <w:end w:w="120" w:type="dxa"/>
            </w:tcMar>
          </w:tcPr>
          <w:p>
            <w:pPr>
              <w:spacing w:after="0"/>
            </w:pPr>
            <w:r>
              <w:rPr>
                <w:rFonts w:ascii="Calibri" w:hAnsi="Calibri"/>
                <w:b w:val="0"/>
                <w:color w:val="172033"/>
                <w:sz w:val="19"/>
              </w:rPr>
              <w:t>Demo video</w:t>
            </w:r>
          </w:p>
        </w:tc>
        <w:tc>
          <w:tcPr>
            <w:tcW w:type="dxa" w:w="6768"/>
            <w:vAlign w:val="center"/>
            <w:tcMar>
              <w:top w:w="90" w:type="dxa"/>
              <w:start w:w="120" w:type="dxa"/>
              <w:bottom w:w="90" w:type="dxa"/>
              <w:end w:w="120" w:type="dxa"/>
            </w:tcMar>
          </w:tcPr>
          <w:p>
            <w:pPr>
              <w:spacing w:after="0"/>
            </w:pPr>
            <w:r>
              <w:rPr>
                <w:rFonts w:ascii="Calibri" w:hAnsi="Calibri"/>
                <w:b w:val="0"/>
                <w:color w:val="172033"/>
                <w:sz w:val="19"/>
              </w:rPr>
              <w:t>deliverables/SHORIR_AI_Demo_Walkthrough.mp4</w:t>
            </w:r>
          </w:p>
        </w:tc>
      </w:tr>
      <w:tr>
        <w:tc>
          <w:tcPr>
            <w:tcW w:type="dxa" w:w="2592"/>
            <w:vAlign w:val="center"/>
            <w:tcMar>
              <w:top w:w="90" w:type="dxa"/>
              <w:start w:w="120" w:type="dxa"/>
              <w:bottom w:w="90" w:type="dxa"/>
              <w:end w:w="120" w:type="dxa"/>
            </w:tcMar>
          </w:tcPr>
          <w:p>
            <w:pPr>
              <w:spacing w:after="0"/>
            </w:pPr>
            <w:r>
              <w:rPr>
                <w:rFonts w:ascii="Calibri" w:hAnsi="Calibri"/>
                <w:b w:val="0"/>
                <w:color w:val="172033"/>
                <w:sz w:val="19"/>
              </w:rPr>
              <w:t>Project presentation</w:t>
            </w:r>
          </w:p>
        </w:tc>
        <w:tc>
          <w:tcPr>
            <w:tcW w:type="dxa" w:w="6768"/>
            <w:vAlign w:val="center"/>
            <w:tcMar>
              <w:top w:w="90" w:type="dxa"/>
              <w:start w:w="120" w:type="dxa"/>
              <w:bottom w:w="90" w:type="dxa"/>
              <w:end w:w="120" w:type="dxa"/>
            </w:tcMar>
          </w:tcPr>
          <w:p>
            <w:pPr>
              <w:spacing w:after="0"/>
            </w:pPr>
            <w:r>
              <w:rPr>
                <w:rFonts w:ascii="Calibri" w:hAnsi="Calibri"/>
                <w:b w:val="0"/>
                <w:color w:val="172033"/>
                <w:sz w:val="19"/>
              </w:rPr>
              <w:t>deliverables/SHORIR_AI_Project_Presentation.pptx</w:t>
            </w:r>
          </w:p>
        </w:tc>
      </w:tr>
      <w:tr>
        <w:tc>
          <w:tcPr>
            <w:tcW w:type="dxa" w:w="2592"/>
            <w:vAlign w:val="center"/>
            <w:tcMar>
              <w:top w:w="90" w:type="dxa"/>
              <w:start w:w="120" w:type="dxa"/>
              <w:bottom w:w="90" w:type="dxa"/>
              <w:end w:w="120" w:type="dxa"/>
            </w:tcMar>
          </w:tcPr>
          <w:p>
            <w:pPr>
              <w:spacing w:after="0"/>
            </w:pPr>
            <w:r>
              <w:rPr>
                <w:rFonts w:ascii="Calibri" w:hAnsi="Calibri"/>
                <w:b w:val="0"/>
                <w:color w:val="172033"/>
                <w:sz w:val="19"/>
              </w:rPr>
              <w:t>Technical report</w:t>
            </w:r>
          </w:p>
        </w:tc>
        <w:tc>
          <w:tcPr>
            <w:tcW w:type="dxa" w:w="6768"/>
            <w:vAlign w:val="center"/>
            <w:tcMar>
              <w:top w:w="90" w:type="dxa"/>
              <w:start w:w="120" w:type="dxa"/>
              <w:bottom w:w="90" w:type="dxa"/>
              <w:end w:w="120" w:type="dxa"/>
            </w:tcMar>
          </w:tcPr>
          <w:p>
            <w:pPr>
              <w:spacing w:after="0"/>
            </w:pPr>
            <w:r>
              <w:rPr>
                <w:rFonts w:ascii="Calibri" w:hAnsi="Calibri"/>
                <w:b w:val="0"/>
                <w:color w:val="172033"/>
                <w:sz w:val="19"/>
              </w:rPr>
              <w:t>deliverables/SHORIR_AI_Technical_Report.docx</w:t>
            </w:r>
          </w:p>
        </w:tc>
      </w:tr>
      <w:tr>
        <w:tc>
          <w:tcPr>
            <w:tcW w:type="dxa" w:w="2592"/>
            <w:vAlign w:val="center"/>
            <w:tcMar>
              <w:top w:w="90" w:type="dxa"/>
              <w:start w:w="120" w:type="dxa"/>
              <w:bottom w:w="90" w:type="dxa"/>
              <w:end w:w="120" w:type="dxa"/>
            </w:tcMar>
          </w:tcPr>
          <w:p>
            <w:pPr>
              <w:spacing w:after="0"/>
            </w:pPr>
            <w:r>
              <w:rPr>
                <w:rFonts w:ascii="Calibri" w:hAnsi="Calibri"/>
                <w:b w:val="0"/>
                <w:color w:val="172033"/>
                <w:sz w:val="19"/>
              </w:rPr>
              <w:t>Source code archive</w:t>
            </w:r>
          </w:p>
        </w:tc>
        <w:tc>
          <w:tcPr>
            <w:tcW w:type="dxa" w:w="6768"/>
            <w:vAlign w:val="center"/>
            <w:tcMar>
              <w:top w:w="90" w:type="dxa"/>
              <w:start w:w="120" w:type="dxa"/>
              <w:bottom w:w="90" w:type="dxa"/>
              <w:end w:w="120" w:type="dxa"/>
            </w:tcMar>
          </w:tcPr>
          <w:p>
            <w:pPr>
              <w:spacing w:after="0"/>
            </w:pPr>
            <w:r>
              <w:rPr>
                <w:rFonts w:ascii="Calibri" w:hAnsi="Calibri"/>
                <w:b w:val="0"/>
                <w:color w:val="172033"/>
                <w:sz w:val="19"/>
              </w:rPr>
              <w:t>deliverables/SHORIR_AI_Source_Code.zip</w:t>
            </w:r>
          </w:p>
        </w:tc>
      </w:tr>
    </w:tbl>
    <w:p>
      <w:pPr>
        <w:spacing w:after="160" w:line="300" w:lineRule="auto"/>
      </w:pPr>
      <w:r>
        <w:rPr>
          <w:rFonts w:ascii="Calibri" w:hAnsi="Calibri"/>
          <w:b w:val="0"/>
          <w:color w:val="172033"/>
          <w:sz w:val="22"/>
        </w:rPr>
        <w:t>Source code is organized under apps/web, apps/api, packages/contracts, packages/content, supabase, docs, and delegated contributor packages. Secrets, dependency folders, generated builds, and local environment files are excluded from the source archive.</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8758A"/>
        <w:sz w:val="17"/>
      </w:rPr>
      <w:t>Team El Bracino | Mindsparks 26 CodeFront Challenge |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8758A"/>
        <w:sz w:val="17"/>
      </w:rPr>
      <w:t>SHORIR AI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467D8"/>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467D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20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