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1517DD93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663BE2C0" w14:textId="7B75F844" w:rsidR="006A3392" w:rsidRDefault="001124F9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Dentro del </w:t>
      </w:r>
      <w:r w:rsidR="00D97F1F">
        <w:rPr>
          <w:rFonts w:ascii="Century Gothic" w:hAnsi="Century Gothic"/>
          <w:lang w:val="es-419"/>
        </w:rPr>
        <w:t xml:space="preserve">análisis de los lenguajes Formales es importante conocer las fases del proceso de compilación, la finalidad del proyecto es que el estudiante comprenda la función de los analizadores léxico y sintáctico de un compilador a través de la generación de un programa que sea capaz de reconocer un lenguaje y finalmente evaluar si las palabras utilizadas están bien formadas de acuerdo </w:t>
      </w:r>
      <w:r w:rsidR="006479FE">
        <w:rPr>
          <w:rFonts w:ascii="Century Gothic" w:hAnsi="Century Gothic"/>
          <w:lang w:val="es-419"/>
        </w:rPr>
        <w:t>con</w:t>
      </w:r>
      <w:r w:rsidR="00D97F1F">
        <w:rPr>
          <w:rFonts w:ascii="Century Gothic" w:hAnsi="Century Gothic"/>
          <w:lang w:val="es-419"/>
        </w:rPr>
        <w:t xml:space="preserve"> una gramática.</w:t>
      </w:r>
    </w:p>
    <w:p w14:paraId="77C23BCA" w14:textId="57621579" w:rsidR="006479FE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El proyecto consta de 3 fases, las cuales son dependientes, es decir, que para poder terminar la fase III, las anteriores deben estar completas, de lo contrario no se podrá entregar el funcionamiento completo.</w:t>
      </w:r>
    </w:p>
    <w:p w14:paraId="5A255B4F" w14:textId="662CC06F" w:rsidR="00CB31B6" w:rsidRPr="006A3392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0DE54F83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1CBDFB8E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Explicación de la gramática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345B1F08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la primer</w:t>
      </w:r>
      <w:r w:rsidR="00DD276E">
        <w:rPr>
          <w:rFonts w:ascii="Century Gothic" w:hAnsi="Century Gothic"/>
          <w:color w:val="auto"/>
          <w:lang w:val="es-ES"/>
        </w:rPr>
        <w:t>a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7E3C9D06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pt" o:ole="">
            <v:imagedata r:id="rId16" o:title=""/>
          </v:shape>
          <o:OLEObject Type="Embed" ProgID="Package" ShapeID="_x0000_i1025" DrawAspect="Icon" ObjectID="_1642890309" r:id="rId17"/>
        </w:object>
      </w:r>
    </w:p>
    <w:p w14:paraId="32108897" w14:textId="7EFA7DDC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6ABB689D" w14:textId="02DDE895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lastRenderedPageBreak/>
        <w:t>Dicho archivo está compuesto de las siguientes partes:</w:t>
      </w:r>
    </w:p>
    <w:p w14:paraId="16305993" w14:textId="3359C487" w:rsidR="00DD276E" w:rsidRDefault="00DD276E" w:rsidP="00DD276E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SETS: Contiene la definición abreviada de un conjunto de símbolos terminales, esta parte puede o no venir dentro del archivo, no es necesario que aparezca pero si aparece, debe poseer al menos un SET.</w:t>
      </w:r>
    </w:p>
    <w:p w14:paraId="15D53481" w14:textId="6AA6321A" w:rsidR="00DD276E" w:rsidRDefault="00DD276E" w:rsidP="00DD276E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Ejemplo</w:t>
      </w:r>
    </w:p>
    <w:p w14:paraId="708957C4" w14:textId="77777777" w:rsidR="00DD276E" w:rsidRPr="00DD276E" w:rsidRDefault="00DD276E" w:rsidP="00DD276E">
      <w:pPr>
        <w:pStyle w:val="Default"/>
        <w:ind w:left="2160" w:firstLine="72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>SETS</w:t>
      </w:r>
    </w:p>
    <w:p w14:paraId="5FF8F589" w14:textId="25C05895" w:rsidR="00DD276E" w:rsidRPr="00DD276E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  <w:t>LETRA   = 'A'..'Z'+'a'..'z'+'_'</w:t>
      </w:r>
    </w:p>
    <w:p w14:paraId="6CF06202" w14:textId="7F0010F6" w:rsidR="00DD276E" w:rsidRPr="00DD276E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  <w:t>DIGITO  = '0'..'9'</w:t>
      </w:r>
    </w:p>
    <w:p w14:paraId="04DCF38E" w14:textId="259B9180" w:rsidR="00DD276E" w:rsidRPr="00DD276E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  <w:t>CHARSET = CHR(32)..CHR(254)</w:t>
      </w:r>
    </w:p>
    <w:p w14:paraId="3F516D86" w14:textId="77777777" w:rsidR="00DD276E" w:rsidRDefault="00DD276E" w:rsidP="00DD276E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Tomar en cuenta las siguientes características:</w:t>
      </w:r>
    </w:p>
    <w:p w14:paraId="3C53E17A" w14:textId="18EF69D6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 w:rsidRPr="00DD276E">
        <w:rPr>
          <w:rFonts w:ascii="Century Gothic" w:hAnsi="Century Gothic"/>
          <w:color w:val="auto"/>
        </w:rPr>
        <w:t>La palabra SETS debe e</w:t>
      </w:r>
      <w:r>
        <w:rPr>
          <w:rFonts w:ascii="Century Gothic" w:hAnsi="Century Gothic"/>
          <w:color w:val="auto"/>
        </w:rPr>
        <w:t>star en mayúscula.</w:t>
      </w:r>
    </w:p>
    <w:p w14:paraId="45AF2188" w14:textId="4BC4E751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sets pueden estar concatenados a través del signo “+”, como muestra el set: LETRA.</w:t>
      </w:r>
    </w:p>
    <w:p w14:paraId="4DEBD8CC" w14:textId="5FFC91EE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Se puede utilizar la función CHR como lo muestra el set: CHARSET.</w:t>
      </w:r>
    </w:p>
    <w:p w14:paraId="77774B99" w14:textId="2ABAD69D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Puede haber muchos espacios en blanco entre el identificador, el símbolo “=” y la definición.</w:t>
      </w:r>
    </w:p>
    <w:p w14:paraId="50807382" w14:textId="1709D6AC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Puede haber varios saltos de línea (Enters) entre un SET y otro.</w:t>
      </w:r>
    </w:p>
    <w:p w14:paraId="6F7D302A" w14:textId="60B79A8B" w:rsidR="00DD276E" w:rsidRDefault="00DD276E" w:rsidP="00DD276E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 w:rsidRPr="00DD276E">
        <w:rPr>
          <w:rFonts w:ascii="Century Gothic" w:hAnsi="Century Gothic"/>
          <w:color w:val="auto"/>
        </w:rPr>
        <w:t>TOKENS: Los tokens representan los sí</w:t>
      </w:r>
      <w:r>
        <w:rPr>
          <w:rFonts w:ascii="Century Gothic" w:hAnsi="Century Gothic"/>
          <w:color w:val="auto"/>
        </w:rPr>
        <w:t>mbolos terminales y no terminales de la gramática</w:t>
      </w:r>
      <w:r w:rsidR="00E666A3">
        <w:rPr>
          <w:rFonts w:ascii="Century Gothic" w:hAnsi="Century Gothic"/>
          <w:color w:val="auto"/>
        </w:rPr>
        <w:t xml:space="preserve">, en esta fase no nos importa si un identificador ha sido declarado o no en los SETS, </w:t>
      </w:r>
    </w:p>
    <w:p w14:paraId="3BCF52CE" w14:textId="628ACD4C" w:rsidR="00E666A3" w:rsidRDefault="00E666A3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</w:t>
      </w:r>
    </w:p>
    <w:p w14:paraId="2358D15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TOKENS</w:t>
      </w:r>
    </w:p>
    <w:p w14:paraId="2162AC3A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1= DIGITO DIGITO *</w:t>
      </w:r>
    </w:p>
    <w:p w14:paraId="6175EF7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2='"' CHARSET '"'|''' CHARSET '''</w:t>
      </w:r>
    </w:p>
    <w:p w14:paraId="047032CD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  = '='</w:t>
      </w:r>
    </w:p>
    <w:p w14:paraId="5F598709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  = '&lt;''&gt;'</w:t>
      </w:r>
    </w:p>
    <w:p w14:paraId="089E56B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6  = '&lt;'</w:t>
      </w:r>
    </w:p>
    <w:p w14:paraId="3D705F6D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7  = '&gt;'</w:t>
      </w:r>
    </w:p>
    <w:p w14:paraId="1B09A90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8  = '&gt;''='</w:t>
      </w:r>
    </w:p>
    <w:p w14:paraId="5CA514A7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9  = '&lt;''='</w:t>
      </w:r>
    </w:p>
    <w:p w14:paraId="4416389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10  = '+'</w:t>
      </w:r>
    </w:p>
    <w:p w14:paraId="2385BE3E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11  = '-'</w:t>
      </w:r>
    </w:p>
    <w:p w14:paraId="5CE00BA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12  = 'O''R'</w:t>
      </w:r>
    </w:p>
    <w:p w14:paraId="1A2B787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13  = '*'</w:t>
      </w:r>
    </w:p>
    <w:p w14:paraId="10B9E1BA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14  = 'A''N''D'</w:t>
      </w:r>
    </w:p>
    <w:p w14:paraId="46154448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15  = 'M''O''D'</w:t>
      </w:r>
    </w:p>
    <w:p w14:paraId="38E9625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16  = 'D''I''V'</w:t>
      </w:r>
    </w:p>
    <w:p w14:paraId="6C6E517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17  = 'N''O''T'</w:t>
      </w:r>
    </w:p>
    <w:p w14:paraId="5F37FC0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40  = '(''*'</w:t>
      </w:r>
    </w:p>
    <w:p w14:paraId="01CB67A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41  = '*'')'</w:t>
      </w:r>
    </w:p>
    <w:p w14:paraId="7353B7A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42  = ';'</w:t>
      </w:r>
    </w:p>
    <w:p w14:paraId="6DBA2B0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43  = '.'</w:t>
      </w:r>
    </w:p>
    <w:p w14:paraId="1A12CCA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44  = '{'</w:t>
      </w:r>
    </w:p>
    <w:p w14:paraId="5E429D7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45  = '}'</w:t>
      </w:r>
    </w:p>
    <w:p w14:paraId="3C9F431B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46  = '('</w:t>
      </w:r>
    </w:p>
    <w:p w14:paraId="44DE4617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47  = ')'</w:t>
      </w:r>
    </w:p>
    <w:p w14:paraId="1E33ADA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48  = '['</w:t>
      </w:r>
    </w:p>
    <w:p w14:paraId="3F9AD76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49  = ']'</w:t>
      </w:r>
    </w:p>
    <w:p w14:paraId="3247946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50  = '.''.'</w:t>
      </w:r>
    </w:p>
    <w:p w14:paraId="7F149CB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ab/>
        <w:t>TOKEN  51  = ':'</w:t>
      </w:r>
    </w:p>
    <w:p w14:paraId="54CCF0E5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52  = ','</w:t>
      </w:r>
    </w:p>
    <w:p w14:paraId="554267EB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53  = ':''='</w:t>
      </w:r>
    </w:p>
    <w:p w14:paraId="01F2BE2C" w14:textId="6F997D55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666A3">
        <w:rPr>
          <w:rFonts w:ascii="Courier New" w:hAnsi="Courier New" w:cs="Courier New"/>
          <w:color w:val="auto"/>
          <w:sz w:val="20"/>
          <w:szCs w:val="20"/>
        </w:rPr>
        <w:t>TOKEN 3= LETRA ( LETRA | DIGITO )*   { RESERVADAS() }</w:t>
      </w:r>
    </w:p>
    <w:p w14:paraId="7B428F74" w14:textId="0485F490" w:rsidR="00E666A3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 PALABRA TOKENS debe existir y estar en mayúscula</w:t>
      </w:r>
    </w:p>
    <w:p w14:paraId="2203D84F" w14:textId="4E8EF992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Esta sección debe existir</w:t>
      </w:r>
    </w:p>
    <w:p w14:paraId="5E093C18" w14:textId="0F2A1B21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Cada token debe poseer la palabra: TOKEN y un número, seguido del signo igual “=”.</w:t>
      </w:r>
    </w:p>
    <w:p w14:paraId="392D051E" w14:textId="35A261EF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Después del signo igual debe venir una expresión regular, que puede ser uno o varios caracteres (Encerrados en apóstrofes).</w:t>
      </w:r>
    </w:p>
    <w:p w14:paraId="3193DE60" w14:textId="78E23020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signos utilizados para las operaciones de las expresiones regulares son los únicos que no necesitan estar entre comillas, a menos que se quiera denotar su uso como signo terminal.</w:t>
      </w:r>
    </w:p>
    <w:p w14:paraId="185D365C" w14:textId="3DCCAFEA" w:rsidR="00C64E30" w:rsidRDefault="00C64E30" w:rsidP="00C64E30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Los signos de operaciones para las expresiones regulares son: + * </w:t>
      </w:r>
      <w:r>
        <w:rPr>
          <w:rFonts w:asciiTheme="minorHAnsi" w:hAnsiTheme="minorHAnsi" w:cstheme="minorHAnsi"/>
          <w:color w:val="auto"/>
        </w:rPr>
        <w:t xml:space="preserve">? ( ) </w:t>
      </w:r>
      <w:r>
        <w:rPr>
          <w:rFonts w:ascii="Century Gothic" w:hAnsi="Century Gothic"/>
          <w:color w:val="auto"/>
        </w:rPr>
        <w:t xml:space="preserve">| </w:t>
      </w:r>
    </w:p>
    <w:p w14:paraId="708581E4" w14:textId="222D2160" w:rsidR="00C64E30" w:rsidRDefault="00C64E30" w:rsidP="00C64E30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ACTIONS</w:t>
      </w:r>
      <w:r w:rsidRPr="00DD276E">
        <w:rPr>
          <w:rFonts w:ascii="Century Gothic" w:hAnsi="Century Gothic"/>
          <w:color w:val="auto"/>
        </w:rPr>
        <w:t xml:space="preserve">: </w:t>
      </w:r>
      <w:r>
        <w:rPr>
          <w:rFonts w:ascii="Century Gothic" w:hAnsi="Century Gothic"/>
          <w:color w:val="auto"/>
        </w:rPr>
        <w:t>La palabra ACTIONS contiene definición de funciones, en este caso específico las palabras reservadas del lenguaje, es importante que la función: Reservadas() siempre debe existir y puede haber otras funciones.</w:t>
      </w:r>
    </w:p>
    <w:p w14:paraId="38661E4B" w14:textId="292BD508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</w:t>
      </w:r>
    </w:p>
    <w:p w14:paraId="02552FF4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ACTIONS </w:t>
      </w:r>
    </w:p>
    <w:p w14:paraId="191D54B9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RESERVADAS() </w:t>
      </w:r>
    </w:p>
    <w:p w14:paraId="1547EFB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03C3F3E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18 = 'PROGRAM'</w:t>
      </w:r>
    </w:p>
    <w:p w14:paraId="0F71D0F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19 = 'INCLUDE'</w:t>
      </w:r>
    </w:p>
    <w:p w14:paraId="1C6B90D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20 = 'CONST'</w:t>
      </w:r>
    </w:p>
    <w:p w14:paraId="659F7505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21 = 'TYPE'</w:t>
      </w:r>
    </w:p>
    <w:p w14:paraId="31592B84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22 = 'VAR'</w:t>
      </w:r>
    </w:p>
    <w:p w14:paraId="44E7339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23 = 'RECORD'</w:t>
      </w:r>
    </w:p>
    <w:p w14:paraId="74B3942D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24 = 'ARRAY'</w:t>
      </w:r>
    </w:p>
    <w:p w14:paraId="28487E8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25 = 'OF'</w:t>
      </w:r>
    </w:p>
    <w:p w14:paraId="0029F3F5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26 = 'PROCEDURE'</w:t>
      </w:r>
    </w:p>
    <w:p w14:paraId="6480B05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27 = 'FUNCTION'</w:t>
      </w:r>
    </w:p>
    <w:p w14:paraId="37FA6F4C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C64E30">
        <w:rPr>
          <w:rFonts w:ascii="Courier New" w:hAnsi="Courier New" w:cs="Courier New"/>
          <w:color w:val="auto"/>
          <w:sz w:val="20"/>
          <w:szCs w:val="20"/>
        </w:rPr>
        <w:t>28 = 'IF'</w:t>
      </w:r>
    </w:p>
    <w:p w14:paraId="1D8C8F7A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</w:rPr>
        <w:tab/>
      </w: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29 = 'THEN'</w:t>
      </w:r>
    </w:p>
    <w:p w14:paraId="3468FF22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30 = 'ELSE'</w:t>
      </w:r>
    </w:p>
    <w:p w14:paraId="3B107D9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31 = 'FOR'</w:t>
      </w:r>
    </w:p>
    <w:p w14:paraId="02AED33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32 = 'TO'</w:t>
      </w:r>
    </w:p>
    <w:p w14:paraId="07E991C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33 = 'WHILE'</w:t>
      </w:r>
    </w:p>
    <w:p w14:paraId="268ABDB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34 = 'DO'</w:t>
      </w:r>
    </w:p>
    <w:p w14:paraId="339BE876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35 = 'EXIT'</w:t>
      </w:r>
    </w:p>
    <w:p w14:paraId="7F31D828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36 = 'END'</w:t>
      </w:r>
    </w:p>
    <w:p w14:paraId="363E848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37 = 'CASE'</w:t>
      </w:r>
    </w:p>
    <w:p w14:paraId="17703426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38 = 'BREAK'</w:t>
      </w:r>
    </w:p>
    <w:p w14:paraId="468D533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39 = 'DOWNTO'</w:t>
      </w:r>
    </w:p>
    <w:p w14:paraId="11986BA7" w14:textId="36BF6FA1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63287A14" w14:textId="77777777" w:rsidR="00C64E30" w:rsidRPr="00C64E30" w:rsidRDefault="00C64E30" w:rsidP="00C64E30">
      <w:pPr>
        <w:pStyle w:val="Default"/>
        <w:jc w:val="both"/>
        <w:rPr>
          <w:rFonts w:ascii="Century Gothic" w:hAnsi="Century Gothic"/>
          <w:color w:val="auto"/>
          <w:lang w:val="en-US"/>
        </w:rPr>
      </w:pPr>
    </w:p>
    <w:p w14:paraId="2E938C5A" w14:textId="27E8B50E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 palabra ACTIONS siempre debe venir acompañada de la función RESERVADAS ().</w:t>
      </w:r>
    </w:p>
    <w:p w14:paraId="2576962E" w14:textId="477C6BC0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lastRenderedPageBreak/>
        <w:t>Todas las funciones deben tener un identificador y unos paréntesis</w:t>
      </w:r>
      <w:r w:rsidR="00C64D83">
        <w:rPr>
          <w:rFonts w:ascii="Century Gothic" w:hAnsi="Century Gothic"/>
          <w:color w:val="auto"/>
        </w:rPr>
        <w:t xml:space="preserve"> abierto y cerrado.</w:t>
      </w:r>
    </w:p>
    <w:p w14:paraId="0B3E83C3" w14:textId="3795B04E" w:rsidR="00C64D83" w:rsidRDefault="00C64D83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Las funciones descritas en ACTIONS deben iniciar y finalizar con llaves {}.</w:t>
      </w:r>
    </w:p>
    <w:p w14:paraId="04997250" w14:textId="07DC8A5C" w:rsidR="00C64D83" w:rsidRDefault="00C64D83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tokens dentro están conformados por: número, signo igual y luego el identificador entre apóstrofes</w:t>
      </w:r>
    </w:p>
    <w:p w14:paraId="32B490AA" w14:textId="3BAC88A8" w:rsidR="00C64D83" w:rsidRDefault="00C64D83" w:rsidP="00C64D83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ERROR: La definición de errores debe venir al menos uno, el ERROR debe tener asignado un número, y el identificador debe tener como sufjio la palabra ERROR en mayúscula:</w:t>
      </w:r>
    </w:p>
    <w:p w14:paraId="0FB9C2D0" w14:textId="22228232" w:rsidR="00C64D83" w:rsidRDefault="00C64D83" w:rsidP="00C64D8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Ejemplo:</w:t>
      </w:r>
    </w:p>
    <w:p w14:paraId="20E97B3A" w14:textId="1E242DE6" w:rsidR="00C64D83" w:rsidRPr="00C64D83" w:rsidRDefault="00C64D83" w:rsidP="00C64D83">
      <w:pPr>
        <w:pStyle w:val="Default"/>
        <w:ind w:left="2880" w:firstLine="72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C64D83">
        <w:rPr>
          <w:rFonts w:ascii="Courier New" w:hAnsi="Courier New" w:cs="Courier New"/>
          <w:color w:val="auto"/>
          <w:sz w:val="20"/>
          <w:szCs w:val="20"/>
        </w:rPr>
        <w:t>ERROR = 54</w:t>
      </w:r>
    </w:p>
    <w:p w14:paraId="2A19280F" w14:textId="2C11B892" w:rsidR="00C64D83" w:rsidRDefault="00C64D83" w:rsidP="00C64D8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identificadores solo deben poseer letras, y en la parte derecha del símbolo igual, solamente pueden haber números.</w:t>
      </w:r>
    </w:p>
    <w:p w14:paraId="22254236" w14:textId="64490254" w:rsidR="00DD276E" w:rsidRDefault="00DD276E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5E797790" w14:textId="7DF6E5D5" w:rsidR="001224EA" w:rsidRDefault="001224EA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5FEB3C69" w14:textId="612CAE76" w:rsidR="001224EA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esta sección se muestra un set de pruebas que se deben incluir y sus respectivos resultados:</w:t>
      </w:r>
    </w:p>
    <w:p w14:paraId="0A2DDE7B" w14:textId="1CBCC098" w:rsidR="003B73C0" w:rsidRDefault="003B73C0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3C0" w14:paraId="0AE7ABC1" w14:textId="77777777" w:rsidTr="003B73C0">
        <w:tc>
          <w:tcPr>
            <w:tcW w:w="4675" w:type="dxa"/>
          </w:tcPr>
          <w:p w14:paraId="37A31C79" w14:textId="1564D053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Archivo de pruebas</w:t>
            </w:r>
          </w:p>
        </w:tc>
        <w:tc>
          <w:tcPr>
            <w:tcW w:w="4675" w:type="dxa"/>
          </w:tcPr>
          <w:p w14:paraId="07881704" w14:textId="002DEFBC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Resultado esperado</w:t>
            </w:r>
          </w:p>
        </w:tc>
      </w:tr>
      <w:tr w:rsidR="003B73C0" w14:paraId="41436D97" w14:textId="77777777" w:rsidTr="003B73C0">
        <w:tc>
          <w:tcPr>
            <w:tcW w:w="4675" w:type="dxa"/>
          </w:tcPr>
          <w:p w14:paraId="74B4C089" w14:textId="689DB24D" w:rsidR="003B73C0" w:rsidRPr="003B73C0" w:rsidRDefault="0020257B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1534" w:dyaOrig="994" w14:anchorId="62C17A1F">
                <v:shape id="_x0000_i1046" type="#_x0000_t75" style="width:76.85pt;height:49.9pt" o:ole="">
                  <v:imagedata r:id="rId18" o:title=""/>
                </v:shape>
                <o:OLEObject Type="Embed" ProgID="Package" ShapeID="_x0000_i1046" DrawAspect="Icon" ObjectID="_1642890310" r:id="rId19"/>
              </w:object>
            </w:r>
          </w:p>
        </w:tc>
        <w:tc>
          <w:tcPr>
            <w:tcW w:w="4675" w:type="dxa"/>
          </w:tcPr>
          <w:p w14:paraId="554B352A" w14:textId="4D546B74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</w:p>
        </w:tc>
      </w:tr>
      <w:tr w:rsidR="003B73C0" w:rsidRPr="003B73C0" w14:paraId="60AC165D" w14:textId="77777777" w:rsidTr="003B73C0">
        <w:tc>
          <w:tcPr>
            <w:tcW w:w="4675" w:type="dxa"/>
          </w:tcPr>
          <w:p w14:paraId="52D011D2" w14:textId="746EF7DB" w:rsidR="003B73C0" w:rsidRPr="003B73C0" w:rsidRDefault="003B73C0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1534" w:dyaOrig="994" w14:anchorId="3AED03E7">
                <v:shape id="_x0000_i1030" type="#_x0000_t75" style="width:76.85pt;height:49.9pt" o:ole="">
                  <v:imagedata r:id="rId20" o:title=""/>
                </v:shape>
                <o:OLEObject Type="Embed" ProgID="Package" ShapeID="_x0000_i1030" DrawAspect="Icon" ObjectID="_1642890311" r:id="rId21"/>
              </w:object>
            </w:r>
          </w:p>
        </w:tc>
        <w:tc>
          <w:tcPr>
            <w:tcW w:w="4675" w:type="dxa"/>
          </w:tcPr>
          <w:p w14:paraId="13488892" w14:textId="2AB6FB63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Error de formato encontrado cerca de línea 4 columna 32</w:t>
            </w:r>
            <w:r w:rsidR="002664CA">
              <w:rPr>
                <w:rFonts w:ascii="Century Gothic" w:hAnsi="Century Gothic"/>
                <w:bCs/>
                <w:color w:val="auto"/>
              </w:rPr>
              <w:t>.</w:t>
            </w:r>
          </w:p>
        </w:tc>
      </w:tr>
      <w:tr w:rsidR="003B73C0" w:rsidRPr="003B73C0" w14:paraId="59746022" w14:textId="77777777" w:rsidTr="003B73C0">
        <w:tc>
          <w:tcPr>
            <w:tcW w:w="4675" w:type="dxa"/>
          </w:tcPr>
          <w:p w14:paraId="44E2D902" w14:textId="34D08219" w:rsidR="003B73C0" w:rsidRPr="003B73C0" w:rsidRDefault="002664CA" w:rsidP="002664CA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>
              <w:rPr>
                <w:rFonts w:ascii="Century Gothic" w:hAnsi="Century Gothic"/>
                <w:b/>
                <w:color w:val="auto"/>
              </w:rPr>
              <w:object w:dxaOrig="1534" w:dyaOrig="994" w14:anchorId="7FD0A5AF">
                <v:shape id="_x0000_i1038" type="#_x0000_t75" style="width:76.85pt;height:49.9pt" o:ole="">
                  <v:imagedata r:id="rId22" o:title=""/>
                </v:shape>
                <o:OLEObject Type="Embed" ProgID="Package" ShapeID="_x0000_i1038" DrawAspect="Icon" ObjectID="_1642890312" r:id="rId23"/>
              </w:object>
            </w:r>
          </w:p>
        </w:tc>
        <w:tc>
          <w:tcPr>
            <w:tcW w:w="4675" w:type="dxa"/>
          </w:tcPr>
          <w:p w14:paraId="4DABF8CB" w14:textId="08C28D64" w:rsidR="003B73C0" w:rsidRPr="002664CA" w:rsidRDefault="002664CA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</w:p>
        </w:tc>
      </w:tr>
      <w:tr w:rsidR="003B73C0" w:rsidRPr="003B73C0" w14:paraId="1954E66D" w14:textId="77777777" w:rsidTr="003B73C0">
        <w:tc>
          <w:tcPr>
            <w:tcW w:w="4675" w:type="dxa"/>
          </w:tcPr>
          <w:p w14:paraId="6098D0C4" w14:textId="33BE0F09" w:rsidR="003B73C0" w:rsidRPr="00BA6084" w:rsidRDefault="00BA6084" w:rsidP="00BA6084">
            <w:pPr>
              <w:pStyle w:val="Default"/>
              <w:jc w:val="center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object w:dxaOrig="1534" w:dyaOrig="994" w14:anchorId="7EEB509C">
                <v:shape id="_x0000_i1041" type="#_x0000_t75" style="width:76.85pt;height:49.9pt" o:ole="">
                  <v:imagedata r:id="rId24" o:title=""/>
                </v:shape>
                <o:OLEObject Type="Embed" ProgID="Package" ShapeID="_x0000_i1041" DrawAspect="Icon" ObjectID="_1642890313" r:id="rId25"/>
              </w:object>
            </w:r>
          </w:p>
        </w:tc>
        <w:tc>
          <w:tcPr>
            <w:tcW w:w="4675" w:type="dxa"/>
          </w:tcPr>
          <w:p w14:paraId="618DD5EE" w14:textId="72D5000B" w:rsidR="003B73C0" w:rsidRPr="00BA6084" w:rsidRDefault="00BA6084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 w:rsidRPr="00BA6084">
              <w:rPr>
                <w:rFonts w:ascii="Century Gothic" w:hAnsi="Century Gothic"/>
                <w:bCs/>
                <w:color w:val="auto"/>
              </w:rPr>
              <w:t xml:space="preserve">Error </w:t>
            </w:r>
            <w:r>
              <w:rPr>
                <w:rFonts w:ascii="Century Gothic" w:hAnsi="Century Gothic"/>
                <w:bCs/>
                <w:color w:val="auto"/>
              </w:rPr>
              <w:t>de formato encontrado cerca de</w:t>
            </w:r>
            <w:r w:rsidRPr="00BA6084">
              <w:rPr>
                <w:rFonts w:ascii="Century Gothic" w:hAnsi="Century Gothic"/>
                <w:bCs/>
                <w:color w:val="auto"/>
              </w:rPr>
              <w:t xml:space="preserve"> línea 1 columna 6</w:t>
            </w:r>
            <w:r>
              <w:rPr>
                <w:rFonts w:ascii="Century Gothic" w:hAnsi="Century Gothic"/>
                <w:bCs/>
                <w:color w:val="auto"/>
              </w:rPr>
              <w:t>.</w:t>
            </w:r>
          </w:p>
        </w:tc>
      </w:tr>
      <w:tr w:rsidR="00BA6084" w:rsidRPr="00BA6084" w14:paraId="6F63DC3B" w14:textId="77777777" w:rsidTr="003B73C0">
        <w:tc>
          <w:tcPr>
            <w:tcW w:w="4675" w:type="dxa"/>
          </w:tcPr>
          <w:p w14:paraId="51C65BB4" w14:textId="61DFC6E5" w:rsidR="00BA6084" w:rsidRDefault="00BA6084" w:rsidP="00BA6084">
            <w:pPr>
              <w:pStyle w:val="Default"/>
              <w:jc w:val="center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object w:dxaOrig="1534" w:dyaOrig="994" w14:anchorId="1F5726D1">
                <v:shape id="_x0000_i1044" type="#_x0000_t75" style="width:76.85pt;height:49.9pt" o:ole="">
                  <v:imagedata r:id="rId26" o:title=""/>
                </v:shape>
                <o:OLEObject Type="Embed" ProgID="Package" ShapeID="_x0000_i1044" DrawAspect="Icon" ObjectID="_1642890314" r:id="rId27"/>
              </w:object>
            </w:r>
          </w:p>
        </w:tc>
        <w:tc>
          <w:tcPr>
            <w:tcW w:w="4675" w:type="dxa"/>
          </w:tcPr>
          <w:p w14:paraId="41B8F38A" w14:textId="6B93A836" w:rsidR="00BA6084" w:rsidRPr="00BA6084" w:rsidRDefault="00BA6084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Error de formato encontrado cerca de línea 6 columna 32.</w:t>
            </w:r>
          </w:p>
        </w:tc>
      </w:tr>
    </w:tbl>
    <w:p w14:paraId="10354BA2" w14:textId="04CE2891" w:rsidR="003B73C0" w:rsidRDefault="003B73C0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3F6E810" w14:textId="6231A02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24D9D934" w14:textId="546E5BF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28CB9FF3" w14:textId="26C3F91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473853C1" w14:textId="7777777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35BB0F5C" w14:textId="77777777" w:rsidR="001224EA" w:rsidRPr="00C64E30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0326D4AF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lastRenderedPageBreak/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3BC60387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Pr="00F03D45">
        <w:rPr>
          <w:rFonts w:ascii="Century Gothic" w:hAnsi="Century Gothic"/>
          <w:b/>
          <w:bCs/>
          <w:color w:val="auto"/>
          <w:lang w:val="es-ES"/>
        </w:rPr>
        <w:t>C</w:t>
      </w:r>
      <w:r w:rsidR="006479FE">
        <w:rPr>
          <w:rFonts w:ascii="Century Gothic" w:hAnsi="Century Gothic"/>
          <w:b/>
          <w:bCs/>
          <w:color w:val="auto"/>
          <w:lang w:val="es-ES"/>
        </w:rPr>
        <w:t>#</w:t>
      </w:r>
      <w:r w:rsidR="00CB31B6">
        <w:rPr>
          <w:rFonts w:ascii="Century Gothic" w:hAnsi="Century Gothic"/>
          <w:b/>
          <w:bCs/>
          <w:color w:val="auto"/>
          <w:lang w:val="es-ES"/>
        </w:rPr>
        <w:t xml:space="preserve"> </w:t>
      </w:r>
      <w:r w:rsidR="00CB31B6">
        <w:rPr>
          <w:rFonts w:ascii="Century Gothic" w:hAnsi="Century Gothic"/>
          <w:color w:val="auto"/>
          <w:lang w:val="es-ES"/>
        </w:rPr>
        <w:t>Utilizando Windows Forms, versión de IDE recomendado es Visual Studio 2019 aunque se puede utilizar cualquiera de sus versiones anteriores.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39E7BE16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00055B7A" w14:textId="68931296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7F26D0E2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presencial e individual el día: </w:t>
      </w:r>
      <w:r w:rsidRPr="00B406C8">
        <w:rPr>
          <w:rFonts w:ascii="Century Gothic" w:hAnsi="Century Gothic"/>
          <w:b/>
          <w:bCs/>
          <w:color w:val="FF0000"/>
          <w:lang w:val="es-ES"/>
        </w:rPr>
        <w:t>miércoles 4 de marzo de 2020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5ABDD811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Validación de errores, uso de </w:t>
      </w:r>
      <w:r w:rsidR="006A3392">
        <w:rPr>
          <w:rFonts w:ascii="Century Gothic" w:hAnsi="Century Gothic"/>
          <w:b/>
          <w:bCs/>
          <w:lang w:val="es-ES"/>
        </w:rPr>
        <w:t xml:space="preserve">procedimientos, </w:t>
      </w:r>
      <w:r w:rsidRPr="0051464E">
        <w:rPr>
          <w:rFonts w:ascii="Century Gothic" w:hAnsi="Century Gothic"/>
          <w:b/>
          <w:bCs/>
          <w:lang w:val="es-ES"/>
        </w:rPr>
        <w:t>funciones</w:t>
      </w:r>
      <w:r w:rsidR="006A3392">
        <w:rPr>
          <w:rFonts w:ascii="Century Gothic" w:hAnsi="Century Gothic"/>
          <w:b/>
          <w:bCs/>
          <w:lang w:val="es-ES"/>
        </w:rPr>
        <w:t>, clases, herencia, estructuras de datos</w:t>
      </w:r>
      <w:r w:rsidRPr="0051464E">
        <w:rPr>
          <w:rFonts w:ascii="Century Gothic" w:hAnsi="Century Gothic"/>
          <w:b/>
          <w:bCs/>
          <w:lang w:val="es-ES"/>
        </w:rPr>
        <w:t xml:space="preserve"> </w:t>
      </w:r>
      <w:r w:rsidRPr="0051464E">
        <w:rPr>
          <w:rFonts w:ascii="Century Gothic" w:hAnsi="Century Gothic"/>
          <w:lang w:val="es-ES"/>
        </w:rPr>
        <w:t xml:space="preserve">en todas las operaciones.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451F3B1B" w:rsidR="0020257B" w:rsidRPr="00F03D45" w:rsidRDefault="0020257B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>Uso de herramientas para versiones de código, específicamente TFS sobre Azure DevOps utilizando la cuenta de correo universitaria.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4103E78F" w14:textId="5A2B50D3" w:rsidR="006A3392" w:rsidRDefault="006A3392" w:rsidP="006A3392">
      <w:pPr>
        <w:rPr>
          <w:rFonts w:ascii="Century Gothic" w:hAnsi="Century Gothic"/>
          <w:lang w:val="es-ES"/>
        </w:rPr>
      </w:pPr>
    </w:p>
    <w:p w14:paraId="4AC89C92" w14:textId="0D2B78CA" w:rsidR="0020257B" w:rsidRDefault="0020257B" w:rsidP="006A3392">
      <w:pPr>
        <w:rPr>
          <w:rFonts w:ascii="Century Gothic" w:hAnsi="Century Gothic"/>
          <w:lang w:val="es-ES"/>
        </w:rPr>
      </w:pPr>
    </w:p>
    <w:p w14:paraId="57C59880" w14:textId="52784C67" w:rsidR="0020257B" w:rsidRDefault="0020257B" w:rsidP="006A3392">
      <w:pPr>
        <w:rPr>
          <w:rFonts w:ascii="Century Gothic" w:hAnsi="Century Gothic"/>
          <w:lang w:val="es-ES"/>
        </w:rPr>
      </w:pP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14:paraId="4BCD3101" w14:textId="77777777" w:rsidTr="0020257B">
        <w:tc>
          <w:tcPr>
            <w:tcW w:w="2337" w:type="dxa"/>
          </w:tcPr>
          <w:p w14:paraId="4BB80F3E" w14:textId="4947BF19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Detecta correctamente los casos de prueba utilizados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163A1336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4116E3">
              <w:rPr>
                <w:rFonts w:ascii="Century Gothic" w:hAnsi="Century Gothic"/>
                <w:lang w:val="es-ES"/>
              </w:rPr>
              <w:t>75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14:paraId="4674A73F" w14:textId="77777777" w:rsidTr="0020257B">
        <w:tc>
          <w:tcPr>
            <w:tcW w:w="2337" w:type="dxa"/>
          </w:tcPr>
          <w:p w14:paraId="19DDE362" w14:textId="5AC0ED3D" w:rsidR="0020257B" w:rsidRDefault="006E66A1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co</w:t>
            </w:r>
            <w:r w:rsidR="00841956">
              <w:rPr>
                <w:rFonts w:ascii="Century Gothic" w:hAnsi="Century Gothic"/>
                <w:lang w:val="es-ES"/>
              </w:rPr>
              <w:t>rrecta de árboles de expresión para evaluar expresiones regulares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158BBC71" w:rsidR="0020257B" w:rsidRDefault="00BF1EE8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Documentación técnica con 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A84F94" w14:textId="180305B9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  <w:tr w:rsidR="00367D14" w14:paraId="6F715A4D" w14:textId="77777777" w:rsidTr="0020257B">
        <w:tc>
          <w:tcPr>
            <w:tcW w:w="2337" w:type="dxa"/>
          </w:tcPr>
          <w:p w14:paraId="4C6E856E" w14:textId="3E00EF07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Versionamiento de código</w:t>
            </w:r>
            <w:r w:rsidR="002870A6">
              <w:rPr>
                <w:rFonts w:ascii="Century Gothic" w:hAnsi="Century Gothic"/>
                <w:lang w:val="es-ES"/>
              </w:rPr>
              <w:t xml:space="preserve"> (Opcional)</w:t>
            </w:r>
          </w:p>
        </w:tc>
        <w:tc>
          <w:tcPr>
            <w:tcW w:w="2337" w:type="dxa"/>
          </w:tcPr>
          <w:p w14:paraId="4701B45D" w14:textId="30C602A1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77120BD" w14:textId="7F77EC0B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</w:t>
            </w:r>
            <w:r w:rsidR="00E36230">
              <w:rPr>
                <w:rFonts w:ascii="Century Gothic" w:hAnsi="Century Gothic"/>
                <w:lang w:val="es-ES"/>
              </w:rPr>
              <w:t xml:space="preserve"> extra</w:t>
            </w:r>
          </w:p>
        </w:tc>
        <w:tc>
          <w:tcPr>
            <w:tcW w:w="2338" w:type="dxa"/>
          </w:tcPr>
          <w:p w14:paraId="3A01BB0B" w14:textId="3AE2BBCE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Utiliza Azure DevOps o Git para versionar el código</w:t>
            </w:r>
          </w:p>
        </w:tc>
      </w:tr>
      <w:tr w:rsidR="008E6A9B" w14:paraId="7FE75F5B" w14:textId="77777777" w:rsidTr="0020257B">
        <w:tc>
          <w:tcPr>
            <w:tcW w:w="2337" w:type="dxa"/>
          </w:tcPr>
          <w:p w14:paraId="3EF88704" w14:textId="04690CE1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Indica regla que no cumple el formato (opcional)</w:t>
            </w:r>
          </w:p>
        </w:tc>
        <w:tc>
          <w:tcPr>
            <w:tcW w:w="2337" w:type="dxa"/>
          </w:tcPr>
          <w:p w14:paraId="5F608BB4" w14:textId="42BE783C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15DC5DC6" w14:textId="45FFA9F0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 extra</w:t>
            </w:r>
          </w:p>
        </w:tc>
        <w:tc>
          <w:tcPr>
            <w:tcW w:w="2338" w:type="dxa"/>
          </w:tcPr>
          <w:p w14:paraId="42061F30" w14:textId="5E0B1275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encuentra un error, muestra una sugerencia de lo que esperaba.</w:t>
            </w:r>
            <w:bookmarkStart w:id="0" w:name="_GoBack"/>
            <w:bookmarkEnd w:id="0"/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0267" w14:textId="77777777" w:rsidR="00F904FA" w:rsidRDefault="00F904FA" w:rsidP="00233B0D">
      <w:pPr>
        <w:spacing w:after="0" w:line="240" w:lineRule="auto"/>
      </w:pPr>
      <w:r>
        <w:separator/>
      </w:r>
    </w:p>
  </w:endnote>
  <w:endnote w:type="continuationSeparator" w:id="0">
    <w:p w14:paraId="6C8B62F2" w14:textId="77777777" w:rsidR="00F904FA" w:rsidRDefault="00F904FA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88AEC" w14:textId="77777777" w:rsidR="00F904FA" w:rsidRDefault="00F904FA" w:rsidP="00233B0D">
      <w:pPr>
        <w:spacing w:after="0" w:line="240" w:lineRule="auto"/>
      </w:pPr>
      <w:r>
        <w:separator/>
      </w:r>
    </w:p>
  </w:footnote>
  <w:footnote w:type="continuationSeparator" w:id="0">
    <w:p w14:paraId="007F8D60" w14:textId="77777777" w:rsidR="00F904FA" w:rsidRDefault="00F904FA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1124F9"/>
    <w:rsid w:val="0011336A"/>
    <w:rsid w:val="001224EA"/>
    <w:rsid w:val="001519E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67D14"/>
    <w:rsid w:val="00386745"/>
    <w:rsid w:val="003B73C0"/>
    <w:rsid w:val="004116E3"/>
    <w:rsid w:val="004C29F4"/>
    <w:rsid w:val="004E5E9A"/>
    <w:rsid w:val="004F2826"/>
    <w:rsid w:val="00520A9B"/>
    <w:rsid w:val="00570B46"/>
    <w:rsid w:val="005C223B"/>
    <w:rsid w:val="006479FE"/>
    <w:rsid w:val="006A3392"/>
    <w:rsid w:val="006E66A1"/>
    <w:rsid w:val="00714DFB"/>
    <w:rsid w:val="007660FC"/>
    <w:rsid w:val="00773B9C"/>
    <w:rsid w:val="0079699E"/>
    <w:rsid w:val="007E0A2C"/>
    <w:rsid w:val="007E4CC8"/>
    <w:rsid w:val="0081192F"/>
    <w:rsid w:val="00841956"/>
    <w:rsid w:val="00882AE1"/>
    <w:rsid w:val="008E44E7"/>
    <w:rsid w:val="008E6A9B"/>
    <w:rsid w:val="008F756C"/>
    <w:rsid w:val="00945455"/>
    <w:rsid w:val="00965CDB"/>
    <w:rsid w:val="00A0351A"/>
    <w:rsid w:val="00A31774"/>
    <w:rsid w:val="00AA4489"/>
    <w:rsid w:val="00AD4309"/>
    <w:rsid w:val="00B406C8"/>
    <w:rsid w:val="00B76973"/>
    <w:rsid w:val="00BA6084"/>
    <w:rsid w:val="00BF1EE8"/>
    <w:rsid w:val="00C45508"/>
    <w:rsid w:val="00C64D83"/>
    <w:rsid w:val="00C64E30"/>
    <w:rsid w:val="00CA12DA"/>
    <w:rsid w:val="00CB31B6"/>
    <w:rsid w:val="00D03879"/>
    <w:rsid w:val="00D135E3"/>
    <w:rsid w:val="00D62886"/>
    <w:rsid w:val="00D813FE"/>
    <w:rsid w:val="00D97F1F"/>
    <w:rsid w:val="00DD276E"/>
    <w:rsid w:val="00E31CAA"/>
    <w:rsid w:val="00E36230"/>
    <w:rsid w:val="00E666A3"/>
    <w:rsid w:val="00EA0ED1"/>
    <w:rsid w:val="00EF6452"/>
    <w:rsid w:val="00EF678A"/>
    <w:rsid w:val="00F03D45"/>
    <w:rsid w:val="00F26496"/>
    <w:rsid w:val="00F50273"/>
    <w:rsid w:val="00F63C6B"/>
    <w:rsid w:val="00F904FA"/>
    <w:rsid w:val="00FB3489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5.emf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oleObject" Target="embeddings/oleObject4.bin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4.e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14BD8-6032-4060-8D64-EB7CC5D3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Moises Antonio Alonso Gonzalez</cp:lastModifiedBy>
  <cp:revision>26</cp:revision>
  <dcterms:created xsi:type="dcterms:W3CDTF">2019-09-17T23:08:00Z</dcterms:created>
  <dcterms:modified xsi:type="dcterms:W3CDTF">2020-02-11T07:38:00Z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