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93A" w14:textId="1CFB9282" w:rsidR="00E900B3" w:rsidRDefault="00E900B3" w:rsidP="00DA6D9C">
      <w:pPr>
        <w:jc w:val="center"/>
        <w:rPr>
          <w:rFonts w:ascii="Times New Roman" w:hAnsi="Times New Roman" w:cs="Times New Roman"/>
          <w:b/>
          <w:sz w:val="24"/>
          <w:szCs w:val="24"/>
        </w:rPr>
      </w:pPr>
      <w:r w:rsidRPr="00E900B3">
        <w:rPr>
          <w:rFonts w:ascii="Times New Roman" w:hAnsi="Times New Roman" w:cs="Times New Roman"/>
          <w:b/>
          <w:sz w:val="24"/>
          <w:szCs w:val="24"/>
        </w:rPr>
        <w:t xml:space="preserve">Supplementary Information for </w:t>
      </w:r>
      <w:r w:rsidR="00A3793C">
        <w:rPr>
          <w:rFonts w:ascii="Times New Roman" w:hAnsi="Times New Roman" w:cs="Times New Roman"/>
          <w:b/>
          <w:sz w:val="24"/>
          <w:szCs w:val="24"/>
        </w:rPr>
        <w:t>Navigating Transition Risk: A Dynamic Framework for Second-life EV Battery Decarbonization</w:t>
      </w:r>
    </w:p>
    <w:p w14:paraId="4C2AA332" w14:textId="77777777" w:rsidR="00DA6D9C" w:rsidRDefault="00DA6D9C" w:rsidP="00DA6D9C">
      <w:pPr>
        <w:jc w:val="center"/>
        <w:rPr>
          <w:rFonts w:ascii="Times New Roman" w:hAnsi="Times New Roman" w:cs="Times New Roman"/>
          <w:b/>
          <w:sz w:val="24"/>
          <w:szCs w:val="24"/>
        </w:rPr>
      </w:pPr>
    </w:p>
    <w:p w14:paraId="71315970" w14:textId="77777777" w:rsidR="00E900B3" w:rsidRPr="00733BEB" w:rsidRDefault="00E900B3" w:rsidP="00E900B3">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sz w:val="24"/>
          <w:szCs w:val="24"/>
        </w:rPr>
      </w:pPr>
      <w:r w:rsidRPr="00733BEB">
        <w:rPr>
          <w:rFonts w:ascii="Times New Roman" w:hAnsi="Times New Roman" w:cs="Times New Roman"/>
          <w:b/>
          <w:sz w:val="24"/>
          <w:szCs w:val="24"/>
        </w:rPr>
        <w:t>Literature Review</w:t>
      </w:r>
    </w:p>
    <w:p w14:paraId="0D4117D3" w14:textId="1DDF13AE" w:rsidR="00E900B3" w:rsidRPr="00733BEB" w:rsidRDefault="00E900B3" w:rsidP="00E900B3">
      <w:pPr>
        <w:spacing w:after="120" w:line="240" w:lineRule="auto"/>
        <w:jc w:val="both"/>
        <w:rPr>
          <w:rFonts w:ascii="Times New Roman" w:hAnsi="Times New Roman" w:cs="Times New Roman"/>
          <w:b/>
          <w:i/>
          <w:sz w:val="24"/>
          <w:szCs w:val="24"/>
        </w:rPr>
      </w:pPr>
      <w:r>
        <w:rPr>
          <w:rFonts w:ascii="Times New Roman" w:hAnsi="Times New Roman" w:cs="Times New Roman"/>
          <w:b/>
          <w:i/>
          <w:sz w:val="24"/>
          <w:szCs w:val="24"/>
        </w:rPr>
        <w:t>1</w:t>
      </w:r>
      <w:r w:rsidRPr="00733BEB">
        <w:rPr>
          <w:rFonts w:ascii="Times New Roman" w:hAnsi="Times New Roman" w:cs="Times New Roman"/>
          <w:b/>
          <w:i/>
          <w:sz w:val="24"/>
          <w:szCs w:val="24"/>
        </w:rPr>
        <w:t>.1. Sustainable and Circular Decarbonization in Second-Life EV Battery Systems</w:t>
      </w:r>
    </w:p>
    <w:p w14:paraId="153BAFFA" w14:textId="6680B360" w:rsidR="00E900B3" w:rsidRPr="00733BEB" w:rsidRDefault="00E900B3" w:rsidP="00E900B3">
      <w:pPr>
        <w:spacing w:after="12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The concept of sustainable circular decarbonization has gained increasing prominence in the context of electric vehicle (EV) battery management, as it integrates circular economy principles with long-term climate mitigation objectives. Second-life EV battery systems contribute to sustainability by extending product lifetimes, reducing demand for virgin materials, and deferring energy- and carbon-intensive recycling processes </w:t>
      </w:r>
      <w:r w:rsidRPr="00733BEB">
        <w:rPr>
          <w:rFonts w:ascii="Times New Roman" w:hAnsi="Times New Roman" w:cs="Times New Roman"/>
          <w:sz w:val="24"/>
          <w:szCs w:val="24"/>
        </w:rPr>
        <w:fldChar w:fldCharType="begin"/>
      </w:r>
      <w:r w:rsidR="00AE57D3">
        <w:rPr>
          <w:rFonts w:ascii="Times New Roman" w:hAnsi="Times New Roman" w:cs="Times New Roman"/>
          <w:sz w:val="24"/>
          <w:szCs w:val="24"/>
        </w:rPr>
        <w:instrText xml:space="preserve"> ADDIN EN.CITE &lt;EndNote&gt;&lt;Cite&gt;&lt;Author&gt;Thakur&lt;/Author&gt;&lt;Year&gt;2022&lt;/Year&gt;&lt;RecNum&gt;17&lt;/RecNum&gt;&lt;DisplayText&gt;(Thakur, Martins Leite de Almeida, &amp;amp; Baskar, 2022)&lt;/DisplayText&gt;&lt;record&gt;&lt;rec-number&gt;17&lt;/rec-number&gt;&lt;foreign-keys&gt;&lt;key app="EN" db-id="2e950ez96eprpyeafx65vzz4a29z2ew5dxa0" timestamp="1771003245"&gt;17&lt;/key&gt;&lt;/foreign-keys&gt;&lt;ref-type name="Journal Article"&gt;17&lt;/ref-type&gt;&lt;contributors&gt;&lt;authors&gt;&lt;author&gt;Thakur, Jagruti&lt;/author&gt;&lt;author&gt;Martins Leite de Almeida, Constança&lt;/author&gt;&lt;author&gt;Baskar, Ashish Guhan&lt;/author&gt;&lt;/authors&gt;&lt;/contributors&gt;&lt;titles&gt;&lt;title&gt;Electric vehicle batteries for a circular economy: Second life batteries as residential stationary storage&lt;/title&gt;&lt;secondary-title&gt;Journal of Cleaner Production&lt;/secondary-title&gt;&lt;/titles&gt;&lt;periodical&gt;&lt;full-title&gt;Journal of Cleaner Production&lt;/full-title&gt;&lt;/periodical&gt;&lt;pages&gt;134066&lt;/pages&gt;&lt;volume&gt;375&lt;/volume&gt;&lt;keywords&gt;&lt;keyword&gt;Vehicle to grid (V2G)&lt;/keyword&gt;&lt;keyword&gt;Demand side management&lt;/keyword&gt;&lt;keyword&gt;Solar PV&lt;/keyword&gt;&lt;keyword&gt;Storage&lt;/keyword&gt;&lt;keyword&gt;Second-life of batteries&lt;/keyword&gt;&lt;keyword&gt;Circular economy&lt;/keyword&gt;&lt;/keywords&gt;&lt;dates&gt;&lt;year&gt;2022&lt;/year&gt;&lt;pub-dates&gt;&lt;date&gt;2022/11/15/&lt;/date&gt;&lt;/pub-dates&gt;&lt;/dates&gt;&lt;isbn&gt;0959-6526&lt;/isbn&gt;&lt;urls&gt;&lt;related-urls&gt;&lt;url&gt;https://www.sciencedirect.com/science/article/pii/S0959652622036381&lt;/url&gt;&lt;/related-urls&gt;&lt;/urls&gt;&lt;electronic-resource-num&gt;https://doi.org/10.1016/j.jclepro.2022.134066&lt;/electronic-resource-num&gt;&lt;/record&gt;&lt;/Cite&gt;&lt;/EndNote&gt;</w:instrText>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(Thakur, Martins Leite de Almeida, &amp; Baskar, 2022)</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From a decarbonization perspective, repurposing batteries for stationary energy storage can support renewable energy integration, grid stabilization, and energy access, particularly in regions with rapidly growing electricity demand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&lt;EndNote&gt;&lt;Cite&gt;&lt;Author&gt;Hassan&lt;/Author&gt;&lt;Year&gt;2023&lt;/Year&gt;&lt;RecNum&gt;18&lt;/RecNum&gt;&lt;DisplayText&gt;(Hassan et al., 2023)&lt;/DisplayText&gt;&lt;record&gt;&lt;rec-number&gt;18&lt;/rec-number&gt;&lt;foreign-keys&gt;&lt;key app="EN" db-id="2e950ez96eprpyeafx65vzz4a29z2ew5dxa0" timestamp="1771003328"&gt;18&lt;/key&gt;&lt;/foreign-keys&gt;&lt;ref-type name="Electronic Article"&gt;43&lt;/ref-type&gt;&lt;contributors&gt;&lt;authors&gt;&lt;author&gt;Hassan, Ali&lt;/author&gt;&lt;author&gt;Khan, Shahid A.&lt;/author&gt;&lt;author&gt;Li, Rongheng&lt;/author&gt;&lt;author&gt;Su, Wencong&lt;/author&gt;&lt;author&gt;Zhou, Xuan&lt;/author&gt;&lt;author&gt;Wang, Mengqi&lt;/author&gt;&lt;author&gt;Wang, Bin&lt;/author&gt;&lt;/authors&gt;&lt;/contributors&gt;&lt;titles&gt;&lt;title&gt;Second-Life Batteries: A Review on Power Grid Applications, Degradation Mechanisms, and Power Electronics Interface Architectures&lt;/title&gt;&lt;secondary-title&gt;Batteries&lt;/secondary-title&gt;&lt;/titles&gt;&lt;periodical&gt;&lt;full-title&gt;Batteries&lt;/full-title&gt;&lt;/periodical&gt;&lt;pages&gt;571&lt;/pages&gt;&lt;volume&gt;9&lt;/volume&gt;&lt;number&gt;12&lt;/number&gt;&lt;keywords&gt;&lt;keyword&gt;second-life batteries&lt;/keyword&gt;&lt;keyword&gt;retired battery power grid applications&lt;/keyword&gt;&lt;keyword&gt;battery degradation&lt;/keyword&gt;&lt;keyword&gt;power electronics interface&lt;/keyword&gt;&lt;keyword&gt;battery management system&lt;/keyword&gt;&lt;/keywords&gt;&lt;dates&gt;&lt;year&gt;2023&lt;/year&gt;&lt;/dates&gt;&lt;isbn&gt;2313-0105&lt;/isbn&gt;&lt;urls&gt;&lt;/urls&gt;&lt;electronic-resource-num&gt;10.3390/batteries9120571&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(Hassan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However, existing studies increasingly acknowledge that the environmental benefits of second-life batteries are highly context-dependent and sensitive to system-level conditions such as battery health uncertainty, safety management, regulatory alignment, and supply chain coordination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&lt;EndNote&gt;&lt;Cite&gt;&lt;Author&gt;Cui&lt;/Author&gt;&lt;Year&gt;2023&lt;/Year&gt;&lt;RecNum&gt;19&lt;/RecNum&gt;&lt;DisplayText&gt;(Jiaying Cui, Quanyin Tan, Lili Liu, &amp;amp; Jinhui Li, 2023)&lt;/DisplayText&gt;&lt;record&gt;&lt;rec-number&gt;19&lt;/rec-number&gt;&lt;foreign-keys&gt;&lt;key app="EN" db-id="2e950ez96eprpyeafx65vzz4a29z2ew5dxa0" timestamp="1771003423"&gt;19&lt;/key&gt;&lt;/foreign-keys&gt;&lt;ref-type name="Journal Article"&gt;17&lt;/ref-type&gt;&lt;contributors&gt;&lt;authors&gt;&lt;author&gt;Cui, Jiaying&lt;/author&gt;&lt;author&gt;Tan, Quanyin&lt;/author&gt;&lt;author&gt;Liu, Lili&lt;/author&gt;&lt;author&gt;Li, Jinhui&lt;/author&gt;&lt;/authors&gt;&lt;/contributors&gt;&lt;titles&gt;&lt;title&gt;Environmental Benefit Assessment of Second-Life Use of Electric Vehicle Lithium-Ion Batteries in Multiple Scenarios Considering Performance Degradation and Economic Value&lt;/title&gt;&lt;secondary-title&gt;Environmental Science &amp;amp; Technology&lt;/secondary-title&gt;&lt;/titles&gt;&lt;periodical&gt;&lt;full-title&gt;Environmental Science &amp;amp; Technology&lt;/full-title&gt;&lt;/periodical&gt;&lt;pages&gt;8559-8567&lt;/pages&gt;&lt;volume&gt;57&lt;/volume&gt;&lt;number&gt;23&lt;/number&gt;&lt;dates&gt;&lt;year&gt;2023&lt;/year&gt;&lt;pub-dates&gt;&lt;date&gt;2023/06/13&lt;/date&gt;&lt;/pub-dates&gt;&lt;/dates&gt;&lt;publisher&gt;American Chemical Society&lt;/publisher&gt;&lt;isbn&gt;0013-936X&lt;/isbn&gt;&lt;urls&gt;&lt;related-urls&gt;&lt;url&gt;https://doi.org/10.1021/acs.est.3c00506&lt;/url&gt;&lt;/related-urls&gt;&lt;/urls&gt;&lt;electronic-resource-num&gt;10.1021/acs.est.3c00506&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(Jiaying Cui, Quanyin Tan, Lili Liu, &amp; Jinhui Li,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AuthorYear="1"&gt;&lt;Author&gt;Kampker&lt;/Author&gt;&lt;Year&gt;2023&lt;/Year&gt;&lt;RecNum&gt;20&lt;/RecNum&gt;&lt;DisplayText&gt;Kampker et al. (2023)&lt;/DisplayText&gt;&lt;record&gt;&lt;rec-number&gt;20&lt;/rec-number&gt;&lt;foreign-keys&gt;&lt;key app="EN" db-id="2e950ez96eprpyeafx65vzz4a29z2ew5dxa0" timestamp="1771003531"&gt;20&lt;/key&gt;&lt;/foreign-keys&gt;&lt;ref-type name="Electronic Article"&gt;43&lt;/ref-type&gt;&lt;contributors&gt;&lt;authors&gt;&lt;author&gt;Kampker, Achim&lt;/author&gt;&lt;author&gt;Heimes, Heiner H.&lt;/author&gt;&lt;author&gt;Offermanns, Christian&lt;/author&gt;&lt;author&gt;Vienenkötter, Janis&lt;/author&gt;&lt;author&gt;Frank, Merlin&lt;/author&gt;&lt;author&gt;Holz, Daniel&lt;/author&gt;&lt;/authors&gt;&lt;/contributors&gt;&lt;titles&gt;&lt;title&gt;Identification of Challenges for Second-Life Battery Systems—A Literature Review&lt;/title&gt;&lt;secondary-title&gt;World Electric Vehicle Journal&lt;/secondary-title&gt;&lt;/titles&gt;&lt;periodical&gt;&lt;full-title&gt;World Electric Vehicle Journal&lt;/full-title&gt;&lt;/periodical&gt;&lt;pages&gt;80&lt;/pages&gt;&lt;volume&gt;14&lt;/volume&gt;&lt;number&gt;4&lt;/number&gt;&lt;keywords&gt;&lt;keyword&gt;battery second-life&lt;/keyword&gt;&lt;keyword&gt;reuse&lt;/keyword&gt;&lt;keyword&gt;challenges&lt;/keyword&gt;&lt;keyword&gt;battery life cycle&lt;/keyword&gt;&lt;keyword&gt;review&lt;/keyword&gt;&lt;/keywords&gt;&lt;dates&gt;&lt;year&gt;2023&lt;/year&gt;&lt;/dates&gt;&lt;isbn&gt;2032-6653&lt;/isbn&gt;&lt;urls&gt;&lt;/urls&gt;&lt;electronic-resource-num&gt;10.3390/wevj14040080&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Kampker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affirmed that this dependency is especially pronounced in emerging economies, where institutional fragmentation, uneven enforcement capacity, and infrastructure constraints can significantly influence whether circular battery systems deliver net decarbonization gains.</w:t>
      </w:r>
    </w:p>
    <w:p w14:paraId="2DDAD7BF" w14:textId="3DF8C9AD" w:rsidR="00E900B3" w:rsidRPr="00733BEB" w:rsidRDefault="00804942" w:rsidP="00E900B3">
      <w:pPr>
        <w:spacing w:after="120" w:line="240"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C5DD176" wp14:editId="1A28E6BE">
            <wp:extent cx="5943600" cy="2815590"/>
            <wp:effectExtent l="0" t="0" r="0" b="3810"/>
            <wp:docPr id="13707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1878" name="Picture 13707018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3F9390A1" w14:textId="4B888650" w:rsidR="00E900B3" w:rsidRPr="00733BEB" w:rsidRDefault="00E900B3" w:rsidP="00E900B3">
      <w:pPr>
        <w:spacing w:after="120" w:line="240" w:lineRule="auto"/>
        <w:jc w:val="center"/>
        <w:rPr>
          <w:rFonts w:ascii="Times New Roman" w:hAnsi="Times New Roman" w:cs="Times New Roman"/>
          <w:sz w:val="24"/>
          <w:szCs w:val="24"/>
        </w:rPr>
      </w:pPr>
      <w:r w:rsidRPr="00733BEB">
        <w:rPr>
          <w:rFonts w:ascii="Times New Roman" w:hAnsi="Times New Roman" w:cs="Times New Roman"/>
          <w:sz w:val="24"/>
          <w:szCs w:val="24"/>
        </w:rPr>
        <w:t xml:space="preserve">Figure </w:t>
      </w:r>
      <w:r w:rsidR="00860957">
        <w:rPr>
          <w:rFonts w:ascii="Times New Roman" w:hAnsi="Times New Roman" w:cs="Times New Roman"/>
          <w:sz w:val="24"/>
          <w:szCs w:val="24"/>
        </w:rPr>
        <w:t>A.</w:t>
      </w:r>
      <w:r w:rsidRPr="00733BEB">
        <w:rPr>
          <w:rFonts w:ascii="Times New Roman" w:hAnsi="Times New Roman" w:cs="Times New Roman"/>
          <w:sz w:val="24"/>
          <w:szCs w:val="24"/>
        </w:rPr>
        <w:t>1 Conceptual Structure of Sustainable Circular Decarbonization in Second-Life EV Battery Systems in emerging economies</w:t>
      </w:r>
    </w:p>
    <w:p w14:paraId="1B204CF4" w14:textId="2E957576" w:rsidR="00E900B3" w:rsidRPr="00733BEB" w:rsidRDefault="00E900B3" w:rsidP="00E900B3">
      <w:pPr>
        <w:spacing w:after="12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To capture these interdependencies, </w:t>
      </w:r>
      <w:r w:rsidRPr="00733BEB">
        <w:rPr>
          <w:rFonts w:ascii="Times New Roman" w:hAnsi="Times New Roman" w:cs="Times New Roman"/>
          <w:bCs/>
          <w:sz w:val="24"/>
          <w:szCs w:val="24"/>
        </w:rPr>
        <w:t xml:space="preserve">Figure </w:t>
      </w:r>
      <w:r w:rsidR="00860957">
        <w:rPr>
          <w:rFonts w:ascii="Times New Roman" w:hAnsi="Times New Roman" w:cs="Times New Roman"/>
          <w:bCs/>
          <w:sz w:val="24"/>
          <w:szCs w:val="24"/>
        </w:rPr>
        <w:t>A.</w:t>
      </w:r>
      <w:r w:rsidRPr="00733BEB">
        <w:rPr>
          <w:rFonts w:ascii="Times New Roman" w:hAnsi="Times New Roman" w:cs="Times New Roman"/>
          <w:bCs/>
          <w:sz w:val="24"/>
          <w:szCs w:val="24"/>
        </w:rPr>
        <w:t>1</w:t>
      </w:r>
      <w:r w:rsidRPr="00733BEB">
        <w:rPr>
          <w:rFonts w:ascii="Times New Roman" w:hAnsi="Times New Roman" w:cs="Times New Roman"/>
          <w:sz w:val="24"/>
          <w:szCs w:val="24"/>
        </w:rPr>
        <w:t xml:space="preserve"> conceptually structures sustainable circular decarbonization in second-life EV battery systems as an integrated pathway shaped by multiple interacting dimensions. The figure illustrates how circular strategies, such as reuse, repurposing, and delayed recycling, interface with decarbonization outcomes through technological, organizational, regulatory, and environmental mechanisms. In emerging economies, these </w:t>
      </w:r>
      <w:r w:rsidRPr="00733BEB">
        <w:rPr>
          <w:rFonts w:ascii="Times New Roman" w:hAnsi="Times New Roman" w:cs="Times New Roman"/>
          <w:sz w:val="24"/>
          <w:szCs w:val="24"/>
        </w:rPr>
        <w:lastRenderedPageBreak/>
        <w:t xml:space="preserve">pathways are mediated by risk factors including state-of-health assessment uncertainty, safety and thermal hazards, regulatory ambiguity, and coordination failures across formal and informal actors. Rather than depicting circularity and decarbonization as linear or automatic outcomes, Figure 1 emphasizes their dynamic and conditional nature, highlighting feedback loops where unmanaged risks can erode environmental benefits or even generate negative sustainability externalities. This conceptual framing underscores the need for risk-informed and system-oriented analytical approaches that move beyond static performance metrics and instead examine how sustainability outcomes emerge from the interaction of circular practices, governance structures, and operational risks within second-life EV battery supply chains </w:t>
      </w:r>
      <w:r w:rsidRPr="00733BEB">
        <w:rPr>
          <w:rFonts w:ascii="Times New Roman" w:hAnsi="Times New Roman" w:cs="Times New Roman"/>
          <w:sz w:val="24"/>
          <w:szCs w:val="24"/>
        </w:rPr>
        <w:fldChar w:fldCharType="begin">
          <w:fldData xml:space="preserve">PEVuZE5vdGU+PENpdGU+PEF1dGhvcj5SaWJlaXJvIGRhIFNpbHZhPC9BdXRob3I+PFllYXI+MjAy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PEVuZE5vdGU+PENpdGU+PEF1dGhvcj5SaWJlaXJvIGRhIFNpbHZhPC9BdXRob3I+PFllYXI+MjAy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(Beyes &amp; Riunaa, 2025; Ribeiro da Silva, Lohmer, Rohla, &amp; Angelis,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4134E5A9" w14:textId="0E99CA69" w:rsidR="00E900B3" w:rsidRPr="00733BEB" w:rsidRDefault="00E900B3" w:rsidP="00E900B3">
      <w:pPr>
        <w:spacing w:after="120" w:line="240" w:lineRule="auto"/>
        <w:jc w:val="both"/>
        <w:rPr>
          <w:rFonts w:ascii="Times New Roman" w:hAnsi="Times New Roman" w:cs="Times New Roman"/>
          <w:b/>
          <w:i/>
          <w:sz w:val="24"/>
          <w:szCs w:val="24"/>
        </w:rPr>
      </w:pPr>
      <w:r>
        <w:rPr>
          <w:rFonts w:ascii="Times New Roman" w:hAnsi="Times New Roman" w:cs="Times New Roman"/>
          <w:b/>
          <w:i/>
          <w:sz w:val="24"/>
          <w:szCs w:val="24"/>
        </w:rPr>
        <w:t>1</w:t>
      </w:r>
      <w:r w:rsidRPr="00733BEB">
        <w:rPr>
          <w:rFonts w:ascii="Times New Roman" w:hAnsi="Times New Roman" w:cs="Times New Roman"/>
          <w:b/>
          <w:i/>
          <w:sz w:val="24"/>
          <w:szCs w:val="24"/>
        </w:rPr>
        <w:t>.2. Second-Life EV Battery Supply Chains in Emerging Economies</w:t>
      </w:r>
    </w:p>
    <w:p w14:paraId="255B6701" w14:textId="77777777" w:rsidR="00E900B3" w:rsidRPr="00733BEB" w:rsidRDefault="00E900B3" w:rsidP="00E900B3">
      <w:pPr>
        <w:spacing w:after="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Second-life EV battery supply chains differ fundamentally from conventional forward supply chains due to their reverse and hybrid nature, involving collection, testing, repurposing, redistribution, and eventual recycling of heterogeneous battery assets. In emerging economies, these supply chains are often characterized by fragmented actor configurations, weak coordination mechanisms, and limited standardization across technical and institutional interfaces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&lt;EndNote&gt;&lt;Cite&gt;&lt;Author&gt;Silvestre&lt;/Author&gt;&lt;Year&gt;2015&lt;/Year&gt;&lt;RecNum&gt;26&lt;/RecNum&gt;&lt;DisplayText&gt;(Silvestre, 2015)&lt;/DisplayText&gt;&lt;record&gt;&lt;rec-number&gt;26&lt;/rec-number&gt;&lt;foreign-keys&gt;&lt;key app="EN" db-id="2e950ez96eprpyeafx65vzz4a29z2ew5dxa0" timestamp="1771246319"&gt;26&lt;/key&gt;&lt;/foreign-keys&gt;&lt;ref-type name="Journal Article"&gt;17&lt;/ref-type&gt;&lt;contributors&gt;&lt;authors&gt;&lt;author&gt;Silvestre, Bruno S.&lt;/author&gt;&lt;/authors&gt;&lt;/contributors&gt;&lt;titles&gt;&lt;title&gt;Sustainable supply chain management in emerging economies: Environmental turbulence, institutional voids and sustainability trajectories&lt;/title&gt;&lt;secondary-title&gt;International Journal of Production Economics&lt;/secondary-title&gt;&lt;/titles&gt;&lt;periodical&gt;&lt;full-title&gt;International Journal of Production Economics&lt;/full-title&gt;&lt;/periodical&gt;&lt;pages&gt;156-169&lt;/pages&gt;&lt;volume&gt;167&lt;/volume&gt;&lt;keywords&gt;&lt;keyword&gt;Sustainable supply chains&lt;/keyword&gt;&lt;keyword&gt;Environmental turbulence&lt;/keyword&gt;&lt;keyword&gt;Institutional voids&lt;/keyword&gt;&lt;keyword&gt;Extreme ambiguity&lt;/keyword&gt;&lt;keyword&gt;Innovation&lt;/keyword&gt;&lt;keyword&gt;Supply chain learning loops&lt;/keyword&gt;&lt;keyword&gt;Supply chain sustainability trajectories&lt;/keyword&gt;&lt;keyword&gt;Emerging economies&lt;/keyword&gt;&lt;/keywords&gt;&lt;dates&gt;&lt;year&gt;2015&lt;/year&gt;&lt;pub-dates&gt;&lt;date&gt;2015/09/01/&lt;/date&gt;&lt;/pub-dates&gt;&lt;/dates&gt;&lt;isbn&gt;0925-5273&lt;/isbn&gt;&lt;urls&gt;&lt;related-urls&gt;&lt;url&gt;https://www.sciencedirect.com/science/article/pii/S0925527315001772&lt;/url&gt;&lt;/related-urls&gt;&lt;/urls&gt;&lt;electronic-resource-num&gt;https://doi.org/10.1016/j.ijpe.2015.05.025&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(Silvestre, 2015)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Prior studies highlight that unlike developed markets, where OEMs, certified recyclers, and utilities play dominant roles, second-life battery systems in emerging economies frequently involve a mix of formal enterprises, informal intermediaries, small-scale </w:t>
      </w:r>
      <w:proofErr w:type="spellStart"/>
      <w:r w:rsidRPr="00733BEB">
        <w:rPr>
          <w:rFonts w:ascii="Times New Roman" w:hAnsi="Times New Roman" w:cs="Times New Roman"/>
          <w:sz w:val="24"/>
          <w:szCs w:val="24"/>
        </w:rPr>
        <w:t>refurbishers</w:t>
      </w:r>
      <w:proofErr w:type="spellEnd"/>
      <w:r w:rsidRPr="00733BEB">
        <w:rPr>
          <w:rFonts w:ascii="Times New Roman" w:hAnsi="Times New Roman" w:cs="Times New Roman"/>
          <w:sz w:val="24"/>
          <w:szCs w:val="24"/>
        </w:rPr>
        <w:t xml:space="preserve">, and decentralized energy users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&lt;EndNote&gt;&lt;Cite&gt;&lt;Author&gt;Kebir&lt;/Author&gt;&lt;Year&gt;2023&lt;/Year&gt;&lt;RecNum&gt;25&lt;/RecNum&gt;&lt;DisplayText&gt;(Kebir et al., 2023)&lt;/DisplayText&gt;&lt;record&gt;&lt;rec-number&gt;25&lt;/rec-number&gt;&lt;foreign-keys&gt;&lt;key app="EN" db-id="2e950ez96eprpyeafx65vzz4a29z2ew5dxa0" timestamp="1771246136"&gt;25&lt;/key&gt;&lt;/foreign-keys&gt;&lt;ref-type name="Journal Article"&gt;17&lt;/ref-type&gt;&lt;contributors&gt;&lt;authors&gt;&lt;author&gt;Kebir, Nisrine&lt;/author&gt;&lt;author&gt;Leonard, Alycia&lt;/author&gt;&lt;author&gt;Downey, Michael&lt;/author&gt;&lt;author&gt;Jones, Bernie&lt;/author&gt;&lt;author&gt;Rabie, Khaled&lt;/author&gt;&lt;author&gt;Bhagavathy, Sivapriya Mothilal&lt;/author&gt;&lt;author&gt;Hirmer, Stephanie A.&lt;/author&gt;&lt;/authors&gt;&lt;/contributors&gt;&lt;titles&gt;&lt;title&gt;Second-life battery systems for affordable energy access in Kenyan primary schools&lt;/title&gt;&lt;secondary-title&gt;Scientific Reports&lt;/secondary-title&gt;&lt;/titles&gt;&lt;periodical&gt;&lt;full-title&gt;Scientific Reports&lt;/full-title&gt;&lt;/periodical&gt;&lt;pages&gt;1374&lt;/pages&gt;&lt;volume&gt;13&lt;/volume&gt;&lt;number&gt;1&lt;/number&gt;&lt;dates&gt;&lt;year&gt;2023&lt;/year&gt;&lt;pub-dates&gt;&lt;date&gt;2023/01/25&lt;/date&gt;&lt;/pub-dates&gt;&lt;/dates&gt;&lt;isbn&gt;2045-2322&lt;/isbn&gt;&lt;urls&gt;&lt;related-urls&gt;&lt;url&gt;https://doi.org/10.1038/s41598-023-28377-7&lt;/url&gt;&lt;/related-urls&gt;&lt;/urls&gt;&lt;electronic-resource-num&gt;10.1038/s41598-023-28377-7&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(Kebir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This diversity increases flexibility and access but also introduces significant uncertainty in battery quality, traceability, and safety compliance. As a result, the operational performance and sustainability outcomes of second-life EV battery supply chains are highly sensitive to governance structures, information flows, and enforcement capacity rather than purely technological feasibility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&lt;EndNote&gt;&lt;Cite&gt;&lt;Author&gt;Sorooshian&lt;/Author&gt;&lt;Year&gt;2024&lt;/Year&gt;&lt;RecNum&gt;27&lt;/RecNum&gt;&lt;DisplayText&gt;(Sorooshian, Khiavi, Karimi, &amp;amp; Mina, 2024)&lt;/DisplayText&gt;&lt;record&gt;&lt;rec-number&gt;27&lt;/rec-number&gt;&lt;foreign-keys&gt;&lt;key app="EN" db-id="2e950ez96eprpyeafx65vzz4a29z2ew5dxa0" timestamp="1771246456"&gt;27&lt;/key&gt;&lt;/foreign-keys&gt;&lt;ref-type name="Journal Article"&gt;17&lt;/ref-type&gt;&lt;contributors&gt;&lt;authors&gt;&lt;author&gt;Sorooshian, Shahryar&lt;/author&gt;&lt;author&gt;Khiavi, Sina Fazel&lt;/author&gt;&lt;author&gt;Karimi, Farzane&lt;/author&gt;&lt;author&gt;Mina, Hassan&lt;/author&gt;&lt;/authors&gt;&lt;/contributors&gt;&lt;titles&gt;&lt;title&gt;Link between sustainable circular supply chain and Internet of Things technology in electric vehicle battery manufacturing industry: A business strategy optimization for pickup and delivery&lt;/title&gt;&lt;secondary-title&gt;Business Strategy and the Environment&lt;/secondary-title&gt;&lt;/titles&gt;&lt;periodical&gt;&lt;full-title&gt;Business Strategy and the Environment&lt;/full-title&gt;&lt;/periodical&gt;&lt;pages&gt;8211-8232&lt;/pages&gt;&lt;volume&gt;33&lt;/volume&gt;&lt;number&gt;8&lt;/number&gt;&lt;keywords&gt;&lt;keyword&gt;circular economy&lt;/keyword&gt;&lt;keyword&gt;Industry 4.0&lt;/keyword&gt;&lt;keyword&gt;Internet of Things (IoT)&lt;/keyword&gt;&lt;keyword&gt;optimization&lt;/keyword&gt;&lt;keyword&gt;simultaneous pickup and delivery&lt;/keyword&gt;&lt;keyword&gt;sustainable supply chain&lt;/keyword&gt;&lt;/keywords&gt;&lt;dates&gt;&lt;year&gt;2024&lt;/year&gt;&lt;pub-dates&gt;&lt;date&gt;2024/12/01&lt;/date&gt;&lt;/pub-dates&gt;&lt;/dates&gt;&lt;publisher&gt;John Wiley &amp;amp; Sons, Ltd&lt;/publisher&gt;&lt;isbn&gt;0964-4733&lt;/isbn&gt;&lt;urls&gt;&lt;related-urls&gt;&lt;url&gt;https://doi.org/10.1002/bse.3905&lt;/url&gt;&lt;/related-urls&gt;&lt;/urls&gt;&lt;electronic-resource-num&gt;https://doi.org/10.1002/bse.3905&lt;/electronic-resource-num&gt;&lt;access-date&gt;2026/02/16&lt;/access-date&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(Sorooshian, Khiavi, Karimi, &amp; Mina,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3E8B4657" w14:textId="77777777" w:rsidR="00E900B3" w:rsidRPr="00733BEB" w:rsidRDefault="00E900B3" w:rsidP="00E900B3">
      <w:pPr>
        <w:spacing w:after="12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Existing literature further indicates that institutional and infrastructural constraints play a decisive role in shaping second-life EV battery supply chains in emerging economies. Limited access to advanced diagnostic technologies, lack of harmonized standards for battery testing and repurposing, and ambiguous regulatory responsibilities often impede effective coordination among supply chain actors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&lt;EndNote&gt;&lt;Cite&gt;&lt;Author&gt;Abdisobbouhi&lt;/Author&gt;&lt;Year&gt;2026&lt;/Year&gt;&lt;RecNum&gt;26&lt;/RecNum&gt;&lt;DisplayText&gt;(Abdisobbouhi, Alahmad, Kingston, &amp;amp; Yurkiv, 2026)&lt;/DisplayText&gt;&lt;record&gt;&lt;rec-number&gt;26&lt;/rec-number&gt;&lt;foreign-keys&gt;&lt;key app="EN" db-id="varrr5rpxvvzrvefvd1xtwt0evst20vezr5f" timestamp="1771026120"&gt;26&lt;/key&gt;&lt;/foreign-keys&gt;&lt;ref-type name="Journal Article"&gt;17&lt;/ref-type&gt;&lt;contributors&gt;&lt;authors&gt;&lt;author&gt;Abdisobbouhi, Yasaman&lt;/author&gt;&lt;author&gt;Alahmad, Qusai&lt;/author&gt;&lt;author&gt;Kingston, Todd A.&lt;/author&gt;&lt;author&gt;Yurkiv, Vitaliy R.&lt;/author&gt;&lt;/authors&gt;&lt;/contributors&gt;&lt;titles&gt;&lt;title&gt;Towards the harmonization of safety testing standards for lithium-ion batteries: A review and call to action&lt;/title&gt;&lt;secondary-title&gt;Renewable and Sustainable Energy Reviews&lt;/secondary-title&gt;&lt;/titles&gt;&lt;periodical&gt;&lt;full-title&gt;Renewable and Sustainable Energy Reviews&lt;/full-title&gt;&lt;/periodical&gt;&lt;pages&gt;116372&lt;/pages&gt;&lt;volume&gt;226&lt;/volume&gt;&lt;keywords&gt;&lt;keyword&gt;Standardization&lt;/keyword&gt;&lt;keyword&gt;Safety&lt;/keyword&gt;&lt;keyword&gt;Thermal runaway&lt;/keyword&gt;&lt;keyword&gt;Rechargeable batteries&lt;/keyword&gt;&lt;keyword&gt;Testing protocols&lt;/keyword&gt;&lt;keyword&gt;Harmonization&lt;/keyword&gt;&lt;/keywords&gt;&lt;dates&gt;&lt;year&gt;2026&lt;/year&gt;&lt;pub-dates&gt;&lt;date&gt;2026/01/01/&lt;/date&gt;&lt;/pub-dates&gt;&lt;/dates&gt;&lt;isbn&gt;1364-0321&lt;/isbn&gt;&lt;urls&gt;&lt;related-urls&gt;&lt;url&gt;https://www.sciencedirect.com/science/article/pii/S1364032125010457&lt;/url&gt;&lt;/related-urls&gt;&lt;/urls&gt;&lt;electronic-resource-num&gt;https://doi.org/10.1016/j.rser.2025.116372&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(Abdisobbouhi, Alahmad, Kingston, &amp; Yurkiv, 2026)</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Moreover, the coexistence of formal and informal practices can create parallel value chains, where economic incentives for reuse coexist with elevated environmental and safety risks. While some studies argue that informality can enhance circularity by increasing collection and reuse rates, others caution that inadequate oversight may lead to unsafe applications, premature failures, and carbon rebound effects that undermine decarbonization goals </w:t>
      </w:r>
      <w:r w:rsidRPr="00733BEB">
        <w:rPr>
          <w:rFonts w:ascii="Times New Roman" w:hAnsi="Times New Roman" w:cs="Times New Roman"/>
          <w:sz w:val="24"/>
          <w:szCs w:val="24"/>
        </w:rPr>
        <w:fldChar w:fldCharType="begin">
          <w:fldData xml:space="preserve">PEVuZE5vdGU+PENpdGU+PEF1dGhvcj5Lb3JzdW5vdmE8L0F1dGhvcj48WWVhcj4yMDIyPC9ZZWFy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PEVuZE5vdGU+PENpdGU+PEF1dGhvcj5Lb3JzdW5vdmE8L0F1dGhvcj48WWVhcj4yMDIyPC9ZZWFy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(Korsunova, Halme, Kourula, Levänen, &amp; Lima-Toivanen, 2022; Velis, Hardesty, Cottom, &amp; Wilcox, 2022)</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These contrasting dynamics suggest that second-life EV battery supply chains in emerging economies cannot be adequately understood through linear or best-practice models alone, reinforcing the need for analytical frameworks that explicitly incorporate risk interactions, causal dependencies, and sustainability trade-offs across the entire system.</w:t>
      </w:r>
    </w:p>
    <w:p w14:paraId="00163B32" w14:textId="65362286" w:rsidR="00E900B3" w:rsidRPr="00733BEB" w:rsidRDefault="00E900B3" w:rsidP="00E900B3">
      <w:pPr>
        <w:jc w:val="both"/>
        <w:rPr>
          <w:rFonts w:ascii="Times New Roman" w:hAnsi="Times New Roman" w:cs="Times New Roman"/>
          <w:b/>
          <w:i/>
          <w:sz w:val="24"/>
          <w:szCs w:val="24"/>
        </w:rPr>
      </w:pPr>
      <w:r>
        <w:rPr>
          <w:rFonts w:ascii="Times New Roman" w:hAnsi="Times New Roman" w:cs="Times New Roman"/>
          <w:b/>
          <w:i/>
          <w:sz w:val="24"/>
          <w:szCs w:val="24"/>
        </w:rPr>
        <w:t>1</w:t>
      </w:r>
      <w:r w:rsidRPr="00733BEB">
        <w:rPr>
          <w:rFonts w:ascii="Times New Roman" w:hAnsi="Times New Roman" w:cs="Times New Roman"/>
          <w:b/>
          <w:i/>
          <w:sz w:val="24"/>
          <w:szCs w:val="24"/>
        </w:rPr>
        <w:t xml:space="preserve">.3. Risk Factors and Sustainability Challenges </w:t>
      </w:r>
      <w:bookmarkStart w:id="0" w:name="_Hlk221944767"/>
      <w:r w:rsidRPr="00733BEB">
        <w:rPr>
          <w:rFonts w:ascii="Times New Roman" w:hAnsi="Times New Roman" w:cs="Times New Roman"/>
          <w:b/>
          <w:i/>
          <w:sz w:val="24"/>
          <w:szCs w:val="24"/>
        </w:rPr>
        <w:t xml:space="preserve">in Second-Life EV Battery </w:t>
      </w:r>
      <w:bookmarkEnd w:id="0"/>
      <w:r w:rsidRPr="00733BEB">
        <w:rPr>
          <w:rFonts w:ascii="Times New Roman" w:hAnsi="Times New Roman" w:cs="Times New Roman"/>
          <w:b/>
          <w:i/>
          <w:sz w:val="24"/>
          <w:szCs w:val="24"/>
        </w:rPr>
        <w:t>Supply Chains</w:t>
      </w:r>
    </w:p>
    <w:p w14:paraId="6FE99A7E" w14:textId="77777777" w:rsidR="00E900B3" w:rsidRPr="00733BEB" w:rsidRDefault="00E900B3" w:rsidP="00E900B3">
      <w:pPr>
        <w:spacing w:after="0" w:line="240" w:lineRule="auto"/>
        <w:jc w:val="both"/>
        <w:rPr>
          <w:rFonts w:ascii="Times New Roman" w:hAnsi="Times New Roman" w:cs="Times New Roman"/>
          <w:sz w:val="24"/>
          <w:szCs w:val="24"/>
        </w:rPr>
      </w:pPr>
      <w:r w:rsidRPr="00733BEB">
        <w:rPr>
          <w:rFonts w:ascii="Times New Roman" w:hAnsi="Times New Roman" w:cs="Times New Roman"/>
          <w:sz w:val="24"/>
          <w:szCs w:val="24"/>
        </w:rPr>
        <w:t>Second-life EV battery supply chains are exposed to a wide range of interconnected risk factors that directly influence their sustainability and decarbonization performance. Technological risks are among the most prominent, particularly those related to battery heterogeneity, degradation uncertainty, and inaccurate state-of-health (</w:t>
      </w:r>
      <w:proofErr w:type="spellStart"/>
      <w:r w:rsidRPr="00733BEB">
        <w:rPr>
          <w:rFonts w:ascii="Times New Roman" w:hAnsi="Times New Roman" w:cs="Times New Roman"/>
          <w:sz w:val="24"/>
          <w:szCs w:val="24"/>
        </w:rPr>
        <w:t>SoH</w:t>
      </w:r>
      <w:proofErr w:type="spellEnd"/>
      <w:r w:rsidRPr="00733BEB">
        <w:rPr>
          <w:rFonts w:ascii="Times New Roman" w:hAnsi="Times New Roman" w:cs="Times New Roman"/>
          <w:sz w:val="24"/>
          <w:szCs w:val="24"/>
        </w:rPr>
        <w:t xml:space="preserve">) assessment. Inadequate diagnostic capabilities </w:t>
      </w:r>
      <w:r w:rsidRPr="00733BEB">
        <w:rPr>
          <w:rFonts w:ascii="Times New Roman" w:hAnsi="Times New Roman" w:cs="Times New Roman"/>
          <w:sz w:val="24"/>
          <w:szCs w:val="24"/>
        </w:rPr>
        <w:lastRenderedPageBreak/>
        <w:t xml:space="preserve">can lead to improper sorting and repurposing decisions, increasing the likelihood of premature failure, safety incidents, and suboptimal energy performance in second-life applications </w:t>
      </w:r>
      <w:r w:rsidRPr="00733BEB">
        <w:rPr>
          <w:rFonts w:ascii="Times New Roman" w:hAnsi="Times New Roman" w:cs="Times New Roman"/>
          <w:sz w:val="24"/>
          <w:szCs w:val="24"/>
        </w:rPr>
        <w:fldChar w:fldCharType="begin">
          <w:fldData xml:space="preserve">PEVuZE5vdGU+PENpdGU+PEF1dGhvcj5TPC9BdXRob3I+PFllYXI+MjAyNDwvWWVhcj48UmVjTnVt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PEVuZE5vdGU+PENpdGU+PEF1dGhvcj5TPC9BdXRob3I+PFllYXI+MjAyNDwvWWVhcj48UmVjTnVt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(X. Li, Lin, Yang, &amp; Zhang, 2025; S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These technological risks are closely intertwined with operational challenges such as improper handling, transportation damage, and insufficient thermal management, which further elevate safety and reliability concerns. In emerging economies, where access to advanced testing infrastructure and standardized repurposing protocols is often limited, these risks are amplified, increasing the probability that second-life batteries fail to deliver the anticipated environmental and economic benefits </w:t>
      </w:r>
      <w:r w:rsidRPr="00733BEB">
        <w:rPr>
          <w:rFonts w:ascii="Times New Roman" w:hAnsi="Times New Roman" w:cs="Times New Roman"/>
          <w:sz w:val="24"/>
          <w:szCs w:val="24"/>
        </w:rPr>
        <w:fldChar w:fldCharType="begin">
          <w:fldData xml:space="preserve">PEVuZE5vdGU+PENpdGU+PEF1dGhvcj5Ba3JhbTwvQXV0aG9yPjxZZWFyPjIwMjQ8L1llYXI+PFJl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PEVuZE5vdGU+PENpdGU+PEF1dGhvcj5Ba3JhbTwvQXV0aG9yPjxZZWFyPjIwMjQ8L1llYXI+PFJl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(Akram &amp; Abdul-Kader, 2024; Patel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6FD8CFDA" w14:textId="17E3B625" w:rsidR="00E900B3" w:rsidRPr="00733BEB" w:rsidRDefault="00E900B3" w:rsidP="00E900B3">
      <w:pPr>
        <w:spacing w:after="12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Beyond technological considerations, organizational, regulatory, and environmental risks pose significant sustainability challenges across second-life EV battery supply chains. Fragmented governance structures, weak information sharing, and misaligned incentives among supply chain actors can hinder effective coordination and accountability, particularly in systems involving both formal and informal participants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&lt;EndNote&gt;&lt;Cite&gt;&lt;Author&gt;Toorajipour&lt;/Author&gt;&lt;Year&gt;2024&lt;/Year&gt;&lt;RecNum&gt;32&lt;/RecNum&gt;&lt;DisplayText&gt;(Toorajipour, Chirumalla, Johansson, Dahlquist, &amp;amp; Wallin, 2024)&lt;/DisplayText&gt;&lt;record&gt;&lt;rec-number&gt;32&lt;/rec-number&gt;&lt;foreign-keys&gt;&lt;key app="EN" db-id="2e950ez96eprpyeafx65vzz4a29z2ew5dxa0" timestamp="1771308536"&gt;32&lt;/key&gt;&lt;/foreign-keys&gt;&lt;ref-type name="Journal Article"&gt;17&lt;/ref-type&gt;&lt;contributors&gt;&lt;authors&gt;&lt;author&gt;Toorajipour, Reza&lt;/author&gt;&lt;author&gt;Chirumalla, Koteshwar&lt;/author&gt;&lt;author&gt;Johansson, Glenn&lt;/author&gt;&lt;author&gt;Dahlquist, Erik&lt;/author&gt;&lt;author&gt;Wallin, Fredrik&lt;/author&gt;&lt;/authors&gt;&lt;/contributors&gt;&lt;titles&gt;&lt;title&gt;Implementing circular business models for the second-life battery of electric vehicles: Challenges and enablers from an ecosystem perspective&lt;/title&gt;&lt;secondary-title&gt;Business Strategy and the Environment&lt;/secondary-title&gt;&lt;/titles&gt;&lt;periodical&gt;&lt;full-title&gt;Business Strategy and the Environment&lt;/full-title&gt;&lt;/periodical&gt;&lt;pages&gt;8637-8655&lt;/pages&gt;&lt;volume&gt;33&lt;/volume&gt;&lt;number&gt;8&lt;/number&gt;&lt;keywords&gt;&lt;keyword&gt;battery circularity&lt;/keyword&gt;&lt;keyword&gt;battery second life&lt;/keyword&gt;&lt;keyword&gt;circular business model innovation&lt;/keyword&gt;&lt;keyword&gt;climate-neutrality&lt;/keyword&gt;&lt;keyword&gt;EV batteries&lt;/keyword&gt;&lt;keyword&gt;EV battery ecosystem&lt;/keyword&gt;&lt;keyword&gt;second-life business models&lt;/keyword&gt;&lt;keyword&gt;second-life EV batteries&lt;/keyword&gt;&lt;/keywords&gt;&lt;dates&gt;&lt;year&gt;2024&lt;/year&gt;&lt;pub-dates&gt;&lt;date&gt;2024/12/01&lt;/date&gt;&lt;/pub-dates&gt;&lt;/dates&gt;&lt;publisher&gt;John Wiley &amp;amp; Sons, Ltd&lt;/publisher&gt;&lt;isbn&gt;0964-4733&lt;/isbn&gt;&lt;urls&gt;&lt;related-urls&gt;&lt;url&gt;https://doi.org/10.1002/bse.3941&lt;/url&gt;&lt;/related-urls&gt;&lt;/urls&gt;&lt;electronic-resource-num&gt;https://doi.org/10.1002/bse.3941&lt;/electronic-resource-num&gt;&lt;access-date&gt;2026/02/16&lt;/access-date&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(Toorajipour, Chirumalla, Johansson, Dahlquist, &amp; Wallin,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Regulatory uncertainty, such as unclear ownership of end-of-life batteries, inconsistent safety standards, and limited enforcement capacity, further exacerbates these challenges by creating compliance gaps and discouraging responsible investment in repurposing infrastructure </w:t>
      </w:r>
      <w:r w:rsidRPr="00733BEB">
        <w:rPr>
          <w:rFonts w:ascii="Times New Roman" w:hAnsi="Times New Roman" w:cs="Times New Roman"/>
          <w:sz w:val="24"/>
          <w:szCs w:val="24"/>
        </w:rPr>
        <w:fldChar w:fldCharType="begin">
          <w:fldData xml:space="preserve">PEVuZE5vdGU+PENpdGU+PEF1dGhvcj5SdWZpbm8gSsO6bmlvcjwvQXV0aG9yPjxZZWFyPjIwMjM8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</w:fldData>
        </w:fldChar>
      </w:r>
      <w:r w:rsidR="00AE57D3">
        <w:rPr>
          <w:rFonts w:ascii="Times New Roman" w:hAnsi="Times New Roman" w:cs="Times New Roman"/>
          <w:sz w:val="24"/>
          <w:szCs w:val="24"/>
        </w:rPr>
        <w:instrText xml:space="preserve"> ADDIN EN.CITE </w:instrText>
      </w:r>
      <w:r w:rsidR="00AE57D3">
        <w:rPr>
          <w:rFonts w:ascii="Times New Roman" w:hAnsi="Times New Roman" w:cs="Times New Roman"/>
          <w:sz w:val="24"/>
          <w:szCs w:val="24"/>
        </w:rPr>
        <w:fldChar w:fldCharType="begin">
          <w:fldData xml:space="preserve">PEVuZE5vdGU+PENpdGU+PEF1dGhvcj5SdWZpbm8gSsO6bmlvcjwvQXV0aG9yPjxZZWFyPjIwMjM8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</w:fldData>
        </w:fldChar>
      </w:r>
      <w:r w:rsidR="00AE57D3">
        <w:rPr>
          <w:rFonts w:ascii="Times New Roman" w:hAnsi="Times New Roman" w:cs="Times New Roman"/>
          <w:sz w:val="24"/>
          <w:szCs w:val="24"/>
        </w:rPr>
        <w:instrText xml:space="preserve"> ADDIN EN.CITE.DATA </w:instrText>
      </w:r>
      <w:r w:rsidR="00AE57D3">
        <w:rPr>
          <w:rFonts w:ascii="Times New Roman" w:hAnsi="Times New Roman" w:cs="Times New Roman"/>
          <w:sz w:val="24"/>
          <w:szCs w:val="24"/>
        </w:rPr>
      </w:r>
      <w:r w:rsidR="00AE57D3">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(Rufino Júnior et al., 2023; Su, Mei, Liu, &amp; Amine, 2025)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From an environmental perspective, poorly managed second-life systems may generate rebound effects, including increased energy losses, shortened secondary lifespans, and delayed but more carbon-intensive recycling, thereby undermining net decarbonization outcomes </w:t>
      </w:r>
      <w:r w:rsidRPr="00733BEB">
        <w:rPr>
          <w:rFonts w:ascii="Times New Roman" w:hAnsi="Times New Roman" w:cs="Times New Roman"/>
          <w:sz w:val="24"/>
          <w:szCs w:val="24"/>
        </w:rPr>
        <w:fldChar w:fldCharType="begin">
          <w:fldData xml:space="preserve">PEVuZE5vdGU+PENpdGU+PEF1dGhvcj5DdWk8L0F1dGhvcj48WWVhcj4yMDIzPC9ZZWFyPjxSZWNO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PEVuZE5vdGU+PENpdGU+PEF1dGhvcj5DdWk8L0F1dGhvcj48WWVhcj4yMDIzPC9ZZWFyPjxSZWNO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(J. Cui, Q. Tan, L. Liu, &amp; J. Li,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These overlapping risk factors highlight the inherently systemic nature of sustainability challenges in second-life EV battery supply chains and underscore the need for analytical approaches capable of capturing causal interdependencies and prioritizing critical risk pathways rather than treating risks in isolation.</w:t>
      </w:r>
    </w:p>
    <w:p w14:paraId="6BAAE43D" w14:textId="2A7B14A6" w:rsidR="00E900B3" w:rsidRPr="00733BEB" w:rsidRDefault="00E900B3" w:rsidP="00E900B3">
      <w:pPr>
        <w:spacing w:after="120"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w:t>
      </w:r>
      <w:r w:rsidRPr="00733BEB">
        <w:rPr>
          <w:rFonts w:ascii="Times New Roman" w:hAnsi="Times New Roman" w:cs="Times New Roman"/>
          <w:b/>
          <w:bCs/>
          <w:i/>
          <w:iCs/>
          <w:sz w:val="24"/>
          <w:szCs w:val="24"/>
        </w:rPr>
        <w:t>.4. Multi-Criteria and Causal Decision-Making Frameworks for in Second-Life EV Battery Sustainable Supply Chains</w:t>
      </w:r>
    </w:p>
    <w:p w14:paraId="1602F6B8" w14:textId="41D70057" w:rsidR="00E900B3" w:rsidRPr="00733BEB" w:rsidRDefault="00E900B3" w:rsidP="00E900B3">
      <w:pPr>
        <w:spacing w:after="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Multi-criteria decision-making (MCDM) methods have been widely adopted to address the complexity of sustainable supply chain problems, where economic, environmental, social, and technical criteria must be evaluated simultaneously. Techniques such as the Analytic Hierarchy Process (AHP), Best–Worst Method (BWM), entropy weighting, and Technique for Order Preference by Similarity to Ideal Solution (TOPSIS) have been applied to prioritize sustainability indicators, evaluate strategic alternatives, and support policy design across various supply chain contexts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&lt;EndNote&gt;&lt;Cite&gt;&lt;Author&gt;Ferdous&lt;/Author&gt;&lt;Year&gt;2025&lt;/Year&gt;&lt;RecNum&gt;38&lt;/RecNum&gt;&lt;DisplayText&gt;(Ferdous, 2025a; S. Li &amp;amp; Xie, 2025)&lt;/DisplayText&gt;&lt;record&gt;&lt;rec-number&gt;38&lt;/rec-number&gt;&lt;foreign-keys&gt;&lt;key app="EN" db-id="varrr5rpxvvzrvefvd1xtwt0evst20vezr5f" timestamp="1771027281"&gt;38&lt;/key&gt;&lt;/foreign-keys&gt;&lt;ref-type name="Journal Article"&gt;17&lt;/ref-type&gt;&lt;contributors&gt;&lt;authors&gt;&lt;author&gt;Ferdous, Jannatul&lt;/author&gt;&lt;/authors&gt;&lt;/contributors&gt;&lt;titles&gt;&lt;title&gt;Sustainable EV Battery Recycling Infrastructure: A Review of Site Selection Frameworks and Decision Models&lt;/title&gt;&lt;secondary-title&gt;International Journal of Innovative Science and Research Technology&lt;/secondary-title&gt;&lt;/titles&gt;&lt;periodical&gt;&lt;full-title&gt;International Journal of Innovative Science and Research Technology&lt;/full-title&gt;&lt;/periodical&gt;&lt;pages&gt;2243-2258&lt;/pages&gt;&lt;volume&gt;10&lt;/volume&gt;&lt;number&gt;8&lt;/number&gt;&lt;dates&gt;&lt;year&gt;2025&lt;/year&gt;&lt;/dates&gt;&lt;urls&gt;&lt;/urls&gt;&lt;electronic-resource-num&gt;https://doi.org/10.38124/ijisrt/25aug987&lt;/electronic-resource-num&gt;&lt;/record&gt;&lt;/Cite&gt;&lt;Cite&gt;&lt;Author&gt;Li&lt;/Author&gt;&lt;Year&gt;2025&lt;/Year&gt;&lt;RecNum&gt;39&lt;/RecNum&gt;&lt;record&gt;&lt;rec-number&gt;39&lt;/rec-number&gt;&lt;foreign-keys&gt;&lt;key app="EN" db-id="varrr5rpxvvzrvefvd1xtwt0evst20vezr5f" timestamp="1771027348"&gt;39&lt;/key&gt;&lt;/foreign-keys&gt;&lt;ref-type name="Journal Article"&gt;17&lt;/ref-type&gt;&lt;contributors&gt;&lt;authors&gt;&lt;author&gt;Li, Shuhua&lt;/author&gt;&lt;author&gt;Xie, Bei&lt;/author&gt;&lt;/authors&gt;&lt;/contributors&gt;&lt;titles&gt;&lt;title&gt;A forewarning model for the reverse supply chain of urban End-of-Life power batteries based on a mix method of BWM and RBFNN&lt;/title&gt;&lt;secondary-title&gt;Scientific Reports&lt;/secondary-title&gt;&lt;/titles&gt;&lt;periodical&gt;&lt;full-title&gt;Scientific Reports&lt;/full-title&gt;&lt;/periodical&gt;&lt;pages&gt;29883&lt;/pages&gt;&lt;volume&gt;15&lt;/volume&gt;&lt;number&gt;1&lt;/number&gt;&lt;dates&gt;&lt;year&gt;2025&lt;/year&gt;&lt;pub-dates&gt;&lt;date&gt;2025/08/14&lt;/date&gt;&lt;/pub-dates&gt;&lt;/dates&gt;&lt;isbn&gt;2045-2322&lt;/isbn&gt;&lt;urls&gt;&lt;related-urls&gt;&lt;url&gt;https://doi.org/10.1038/s41598-025-13573-4&lt;/url&gt;&lt;/related-urls&gt;&lt;/urls&gt;&lt;electronic-resource-num&gt;10.1038/s41598-025-13573-4&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(Ferdous, 2025a; S. Li &amp; Xie, 2025)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These methods are particularly valuable in settings characterized by limited quantitative data, as they can systematically incorporate expert judgment into decision-making processes. However, many conventional MCDM applications implicitly assume independence among criteria and focus primarily on ranking or weighting outcomes, which limits their ability to capture the interdependent and dynamic nature of sustainability challenges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&lt;EndNote&gt;&lt;Cite&gt;&lt;Author&gt;Shen&lt;/Author&gt;&lt;Year&gt;2018&lt;/Year&gt;&lt;RecNum&gt;23&lt;/RecNum&gt;&lt;DisplayText&gt;(Shen &amp;amp; Tzeng, 2018)&lt;/DisplayText&gt;&lt;record&gt;&lt;rec-number&gt;23&lt;/rec-number&gt;&lt;foreign-keys&gt;&lt;key app="EN" db-id="2e950ez96eprpyeafx65vzz4a29z2ew5dxa0" timestamp="1771245944"&gt;23&lt;/key&gt;&lt;/foreign-keys&gt;&lt;ref-type name="Electronic Article"&gt;43&lt;/ref-type&gt;&lt;contributors&gt;&lt;authors&gt;&lt;author&gt;Shen, Kao-Yi&lt;/author&gt;&lt;author&gt;Tzeng, Gwo-Hshiung&lt;/author&gt;&lt;/authors&gt;&lt;/contributors&gt;&lt;titles&gt;&lt;title&gt;Advances in Multiple Criteria Decision Making for Sustainability: Modeling and Applications&lt;/title&gt;&lt;secondary-title&gt;Sustainability&lt;/secondary-title&gt;&lt;/titles&gt;&lt;periodical&gt;&lt;full-title&gt;Sustainability&lt;/full-title&gt;&lt;/periodical&gt;&lt;pages&gt;1600&lt;/pages&gt;&lt;volume&gt;10&lt;/volume&gt;&lt;number&gt;5&lt;/number&gt;&lt;keywords&gt;&lt;keyword&gt;sustainable development&lt;/keyword&gt;&lt;keyword&gt;multiple criteria decision making (MCDM)&lt;/keyword&gt;&lt;keyword&gt;problem-solving&lt;/keyword&gt;&lt;keyword&gt;optimization&lt;/keyword&gt;&lt;keyword&gt;decision aid&lt;/keyword&gt;&lt;keyword&gt;computational intelligence&lt;/keyword&gt;&lt;keyword&gt;machine learning (ML)&lt;/keyword&gt;&lt;keyword&gt;artificial intelligence (AI)&lt;/keyword&gt;&lt;keyword&gt;soft computing&lt;/keyword&gt;&lt;keyword&gt;fuzzy sets&lt;/keyword&gt;&lt;keyword&gt;rough set theory (RST)&lt;/keyword&gt;&lt;/keywords&gt;&lt;dates&gt;&lt;year&gt;2018&lt;/year&gt;&lt;/dates&gt;&lt;isbn&gt;2071-1050&lt;/isbn&gt;&lt;urls&gt;&lt;/urls&gt;&lt;electronic-resource-num&gt;10.3390/su10051600&lt;/electronic-resource-num&gt;&lt;/record&gt;&lt;/Cite&gt;&lt;/EndNote&gt;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(Shen &amp; Tzeng, 2018)</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In complex systems such as second-life EV battery supply chains, especially in emerging economies, this assumption may oversimplify reality, as technological, regulatory, and organizational factors often interact in non-linear and mutually reinforcing ways </w:t>
      </w:r>
      <w:r w:rsidRPr="00733BEB">
        <w:rPr>
          <w:rFonts w:ascii="Times New Roman" w:hAnsi="Times New Roman" w:cs="Times New Roman"/>
          <w:sz w:val="24"/>
          <w:szCs w:val="24"/>
        </w:rPr>
        <w:fldChar w:fldCharType="begin"/>
      </w:r>
      <w:r w:rsidR="00AE57D3">
        <w:rPr>
          <w:rFonts w:ascii="Times New Roman" w:hAnsi="Times New Roman" w:cs="Times New Roman"/>
          <w:sz w:val="24"/>
          <w:szCs w:val="24"/>
        </w:rPr>
        <w:instrText xml:space="preserve"> ADDIN EN.CITE &lt;EndNote&gt;&lt;Cite&gt;&lt;Author&gt;Prenner&lt;/Author&gt;&lt;Year&gt;2024&lt;/Year&gt;&lt;RecNum&gt;42&lt;/RecNum&gt;&lt;DisplayText&gt;(Prenner et al., 2024)&lt;/DisplayText&gt;&lt;record&gt;&lt;rec-number&gt;42&lt;/rec-number&gt;&lt;foreign-keys&gt;&lt;key app="EN" db-id="varrr5rpxvvzrvefvd1xtwt0evst20vezr5f" timestamp="1771028506"&gt;42&lt;/key&gt;&lt;/foreign-keys&gt;&lt;ref-type name="Journal Article"&gt;17&lt;/ref-type&gt;&lt;contributors&gt;&lt;authors&gt;&lt;author&gt;Prenner, Stefanie&lt;/author&gt;&lt;author&gt;Part, Florian&lt;/author&gt;&lt;author&gt;Jung-Waclik, Sabine&lt;/author&gt;&lt;author&gt;Bordes, Arnaud&lt;/author&gt;&lt;author&gt;Leonhardt, Robert&lt;/author&gt;&lt;author&gt;Jandric, Aleksander&lt;/author&gt;&lt;author&gt;Schmidt, Anita&lt;/author&gt;&lt;author&gt;Huber-Humer, Marion&lt;/author&gt;&lt;/authors&gt;&lt;/contributors&gt;&lt;titles&gt;&lt;title&gt;Barriers and framework conditions for the market entry of second-life lithium-ion batteries from electric vehicles&lt;/title&gt;&lt;secondary-title&gt;Heliyon&lt;/secondary-title&gt;&lt;/titles&gt;&lt;periodical&gt;&lt;full-title&gt;Heliyon&lt;/full-title&gt;&lt;/periodical&gt;&lt;pages&gt;e37423&lt;/pages&gt;&lt;volume&gt;10&lt;/volume&gt;&lt;number&gt;18&lt;/number&gt;&lt;keywords&gt;&lt;keyword&gt;Electric vehicle&lt;/keyword&gt;&lt;keyword&gt;Circular economy&lt;/keyword&gt;&lt;keyword&gt;Market entry barrier&lt;/keyword&gt;&lt;keyword&gt;Repurposing&lt;/keyword&gt;&lt;keyword&gt;Second-life lithium-ion battery&lt;/keyword&gt;&lt;keyword&gt;Second-life battery energy storage system&lt;/keyword&gt;&lt;/keywords&gt;&lt;dates&gt;&lt;year&gt;2024&lt;/year&gt;&lt;pub-dates&gt;&lt;date&gt;2024/09/30/&lt;/date&gt;&lt;/pub-dates&gt;&lt;/dates&gt;&lt;isbn&gt;2405-8440&lt;/isbn&gt;&lt;urls&gt;&lt;related-urls&gt;&lt;url&gt;https://www.sciencedirect.com/science/article/pii/S2405844024134548&lt;/url&gt;&lt;/related-urls&gt;&lt;/urls&gt;&lt;electronic-resource-num&gt;https://doi.org/10.1016/j.heliyon.2024.e37423&lt;/electronic-resource-num&gt;&lt;/record&gt;&lt;/Cite&gt;&lt;/EndNote&gt;</w:instrText>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(Prenner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0ABF9C61" w14:textId="72423974" w:rsidR="00E900B3" w:rsidRPr="00733BEB" w:rsidRDefault="00E900B3" w:rsidP="00E900B3">
      <w:pPr>
        <w:spacing w:after="12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To address these limitations, causal decision-making and systems-based methods have increasingly been integrated into sustainability and circular economy research. Approaches such as the Decision-Making Trial and Evaluation Laboratory (DEMATEL) and Interpretive Structural Modeling (ISM) enable researchers to identify cause–effect relationships, hierarchical structures, </w:t>
      </w:r>
      <w:r w:rsidRPr="00733BEB">
        <w:rPr>
          <w:rFonts w:ascii="Times New Roman" w:hAnsi="Times New Roman" w:cs="Times New Roman"/>
          <w:sz w:val="24"/>
          <w:szCs w:val="24"/>
        </w:rPr>
        <w:lastRenderedPageBreak/>
        <w:t xml:space="preserve">and feedback mechanisms among sustainability drivers and barriers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&lt;EndNote&gt;&lt;Cite&gt;&lt;Author&gt;Primadasa&lt;/Author&gt;&lt;Year&gt;2025&lt;/Year&gt;&lt;RecNum&gt;29&lt;/RecNum&gt;&lt;DisplayText&gt;(Primadasa, Kusrini, Mansur, &amp;amp; Masudin, 2025)&lt;/DisplayText&gt;&lt;record&gt;&lt;rec-number&gt;29&lt;/rec-number&gt;&lt;foreign-keys&gt;&lt;key app="EN" db-id="2e950ez96eprpyeafx65vzz4a29z2ew5dxa0" timestamp="1771246752"&gt;29&lt;/key&gt;&lt;/foreign-keys&gt;&lt;ref-type name="Journal Article"&gt;17&lt;/ref-type&gt;&lt;contributors&gt;&lt;authors&gt;&lt;author&gt;Primadasa, Rangga&lt;/author&gt;&lt;author&gt;Kusrini, Elisa&lt;/author&gt;&lt;author&gt;Mansur, Agus&lt;/author&gt;&lt;author&gt;Masudin, Ilyas&lt;/author&gt;&lt;/authors&gt;&lt;/contributors&gt;&lt;titles&gt;&lt;title&gt;Integrating DEMATEL-ISM-MICMAC: an interconnected model of halal-sustainable supply chain management (HSSCM) indicatorsfor SMEs&lt;/title&gt;&lt;secondary-title&gt;Journal of Islamic Marketing&lt;/secondary-title&gt;&lt;/titles&gt;&lt;periodical&gt;&lt;full-title&gt;Journal of Islamic Marketing&lt;/full-title&gt;&lt;/periodical&gt;&lt;pages&gt;2244-2275&lt;/pages&gt;&lt;volume&gt;16&lt;/volume&gt;&lt;number&gt;8&lt;/number&gt;&lt;dates&gt;&lt;year&gt;2025&lt;/year&gt;&lt;/dates&gt;&lt;isbn&gt;1759-0833&lt;/isbn&gt;&lt;urls&gt;&lt;related-urls&gt;&lt;url&gt;https://doi.org/10.1108/JIMA-07-2024-0303&lt;/url&gt;&lt;/related-urls&gt;&lt;/urls&gt;&lt;electronic-resource-num&gt;10.1108/JIMA-07-2024-0303&lt;/electronic-resource-num&gt;&lt;access-date&gt;2/16/2026&lt;/access-date&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(Primadasa, Kusrini, Mansur, &amp; Masudin, 2025)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In parallel, risk assessment tools such as Failure Mode and Effects Analysis (FMEA) have been used to translate abstract sustainability concerns into operationally meaningful risk priorities, particularly in safety-critical supply chains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&lt;EndNote&gt;&lt;Cite&gt;&lt;Author&gt;Kirana&lt;/Author&gt;&lt;Year&gt;2023&lt;/Year&gt;&lt;RecNum&gt;9&lt;/RecNum&gt;&lt;DisplayText&gt;(Kirana et al., 2023)&lt;/DisplayText&gt;&lt;record&gt;&lt;rec-number&gt;9&lt;/rec-number&gt;&lt;foreign-keys&gt;&lt;key app="EN" db-id="2e950ez96eprpyeafx65vzz4a29z2ew5dxa0" timestamp="1770988919"&gt;9&lt;/key&gt;&lt;/foreign-keys&gt;&lt;ref-type name="Journal Article"&gt;17&lt;/ref-type&gt;&lt;contributors&gt;&lt;authors&gt;&lt;author&gt;Kirana, Rizky Cahya&lt;/author&gt;&lt;author&gt;Purwanto, Nicco Avinta&lt;/author&gt;&lt;author&gt;Azis, Nadana Ayzah&lt;/author&gt;&lt;author&gt;Joelianto, Endra&lt;/author&gt;&lt;author&gt;Santosa, Sigit Puji&lt;/author&gt;&lt;author&gt;Budiman, Bentang Arief&lt;/author&gt;&lt;author&gt;Nguyen, Le Hoa&lt;/author&gt;&lt;author&gt;Turnip, Arjon&lt;/author&gt;&lt;/authors&gt;&lt;/contributors&gt;&lt;titles&gt;&lt;title&gt;Failure assessment in lithium-ion battery packs in electric vehicles using the failure modes and effects analysis (FMEA) approach&lt;/title&gt;&lt;secondary-title&gt;Journal of Mechatronics, Electrical Power, and Vehicular Technology&lt;/secondary-title&gt;&lt;/titles&gt;&lt;periodical&gt;&lt;full-title&gt;Journal of Mechatronics, Electrical Power, and Vehicular Technology&lt;/full-title&gt;&lt;/periodical&gt;&lt;pages&gt;94-104&lt;/pages&gt;&lt;volume&gt;14&lt;/volume&gt;&lt;number&gt;1&lt;/number&gt;&lt;dates&gt;&lt;year&gt;2023&lt;/year&gt;&lt;/dates&gt;&lt;isbn&gt;2088-6985&lt;/isbn&gt;&lt;urls&gt;&lt;/urls&gt;&lt;electronic-resource-num&gt;https://doi.org/10.14203/j.mev.2023.v14.94-104&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(Kirana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Nevertheless, these methods are often applied independently, resulting in fragmented insights that fail to provide a coherent system-level understanding. Recent studies therefore advocate integrated frameworks that combine objective weighting, causal analysis, and risk prioritization to improve robustness, transparency, and policy relevance in sustainable supply chain decision-making </w:t>
      </w:r>
      <w:r w:rsidRPr="00733BEB">
        <w:rPr>
          <w:rFonts w:ascii="Times New Roman" w:hAnsi="Times New Roman" w:cs="Times New Roman"/>
          <w:sz w:val="24"/>
          <w:szCs w:val="24"/>
        </w:rPr>
        <w:fldChar w:fldCharType="begin">
          <w:fldData xml:space="preserve">PEVuZE5vdGU+PENpdGU+PEF1dGhvcj5QYXVsPC9BdXRob3I+PFllYXI+MjAyMTwvWWVhcj48UmVj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</w:fldData>
        </w:fldChar>
      </w:r>
      <w:r w:rsidR="00AE57D3">
        <w:rPr>
          <w:rFonts w:ascii="Times New Roman" w:hAnsi="Times New Roman" w:cs="Times New Roman"/>
          <w:sz w:val="24"/>
          <w:szCs w:val="24"/>
        </w:rPr>
        <w:instrText xml:space="preserve"> ADDIN EN.CITE </w:instrText>
      </w:r>
      <w:r w:rsidR="00AE57D3">
        <w:rPr>
          <w:rFonts w:ascii="Times New Roman" w:hAnsi="Times New Roman" w:cs="Times New Roman"/>
          <w:sz w:val="24"/>
          <w:szCs w:val="24"/>
        </w:rPr>
        <w:fldChar w:fldCharType="begin">
          <w:fldData xml:space="preserve">PEVuZE5vdGU+PENpdGU+PEF1dGhvcj5QYXVsPC9BdXRob3I+PFllYXI+MjAyMTwvWWVhcj48UmVj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</w:fldData>
        </w:fldChar>
      </w:r>
      <w:r w:rsidR="00AE57D3">
        <w:rPr>
          <w:rFonts w:ascii="Times New Roman" w:hAnsi="Times New Roman" w:cs="Times New Roman"/>
          <w:sz w:val="24"/>
          <w:szCs w:val="24"/>
        </w:rPr>
        <w:instrText xml:space="preserve"> ADDIN EN.CITE.DATA </w:instrText>
      </w:r>
      <w:r w:rsidR="00AE57D3">
        <w:rPr>
          <w:rFonts w:ascii="Times New Roman" w:hAnsi="Times New Roman" w:cs="Times New Roman"/>
          <w:sz w:val="24"/>
          <w:szCs w:val="24"/>
        </w:rPr>
      </w:r>
      <w:r w:rsidR="00AE57D3">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(Paul, Shukla, Paul, &amp; Trianni, 2021; Yadav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This methodological evolution provides a strong foundation for developing integrated analytical frameworks capable of supporting sustainable circular decarbonization pathways in second-life EV battery supply chains.</w:t>
      </w:r>
    </w:p>
    <w:p w14:paraId="73DEFD2B" w14:textId="59C955C9" w:rsidR="00E900B3" w:rsidRDefault="00E900B3" w:rsidP="00E900B3">
      <w:pPr>
        <w:spacing w:after="120" w:line="240" w:lineRule="auto"/>
        <w:jc w:val="both"/>
        <w:rPr>
          <w:rFonts w:ascii="Times New Roman" w:hAnsi="Times New Roman" w:cs="Times New Roman"/>
          <w:b/>
          <w:i/>
          <w:sz w:val="24"/>
          <w:szCs w:val="24"/>
        </w:rPr>
      </w:pPr>
      <w:r>
        <w:rPr>
          <w:rFonts w:ascii="Times New Roman" w:hAnsi="Times New Roman" w:cs="Times New Roman"/>
          <w:b/>
          <w:i/>
          <w:sz w:val="24"/>
          <w:szCs w:val="24"/>
        </w:rPr>
        <w:t>1.5. System Dynamics for Circular Transition Modeling</w:t>
      </w:r>
    </w:p>
    <w:p w14:paraId="4CA342D9" w14:textId="77777777" w:rsidR="00E900B3" w:rsidRDefault="00E900B3" w:rsidP="00E900B3">
      <w:pPr>
        <w:pStyle w:val="p1"/>
        <w:jc w:val="both"/>
        <w:rPr>
          <w:rFonts w:ascii="Times New Roman" w:hAnsi="Times New Roman"/>
          <w:sz w:val="24"/>
          <w:szCs w:val="24"/>
        </w:rPr>
      </w:pPr>
      <w:r w:rsidRPr="00D56DCE">
        <w:rPr>
          <w:rFonts w:ascii="Times New Roman" w:hAnsi="Times New Roman"/>
          <w:sz w:val="24"/>
          <w:szCs w:val="24"/>
        </w:rPr>
        <w:t>System Dynamics (SD) has been widely applied to analyze complex socio-technical systems characterized by feedback loops, time delays, non-linear interactions, and policy-sensitive behavioral evolution. In sustainability and circular economy research, SD enables examination of how environmental, technological, and institutional factors dynamically interact over time rather than producing static outcomes</w:t>
      </w:r>
      <w:r>
        <w:rPr>
          <w:rFonts w:ascii="Times New Roman" w:hAnsi="Times New Roman"/>
          <w:sz w:val="24"/>
          <w:szCs w:val="24"/>
        </w:rPr>
        <w:t xml:space="preserve"> (</w:t>
      </w:r>
      <w:r w:rsidRPr="00D56DCE">
        <w:rPr>
          <w:rFonts w:ascii="Times New Roman" w:hAnsi="Times New Roman"/>
          <w:sz w:val="24"/>
          <w:szCs w:val="24"/>
        </w:rPr>
        <w:t xml:space="preserve">Jayarathna et al. 2023; </w:t>
      </w:r>
      <w:proofErr w:type="spellStart"/>
      <w:r w:rsidRPr="00D56DCE">
        <w:rPr>
          <w:rFonts w:ascii="Times New Roman" w:hAnsi="Times New Roman"/>
          <w:sz w:val="24"/>
          <w:szCs w:val="24"/>
        </w:rPr>
        <w:t>Kazancoglu</w:t>
      </w:r>
      <w:proofErr w:type="spellEnd"/>
      <w:r w:rsidRPr="00D56DCE">
        <w:rPr>
          <w:rFonts w:ascii="Times New Roman" w:hAnsi="Times New Roman"/>
          <w:sz w:val="24"/>
          <w:szCs w:val="24"/>
        </w:rPr>
        <w:t xml:space="preserve"> et al. 2020; </w:t>
      </w:r>
      <w:proofErr w:type="spellStart"/>
      <w:r w:rsidRPr="00D56DCE">
        <w:rPr>
          <w:rFonts w:ascii="Times New Roman" w:hAnsi="Times New Roman"/>
          <w:sz w:val="24"/>
          <w:szCs w:val="24"/>
        </w:rPr>
        <w:t>Véliz</w:t>
      </w:r>
      <w:proofErr w:type="spellEnd"/>
      <w:r>
        <w:rPr>
          <w:rFonts w:ascii="Times New Roman" w:hAnsi="Times New Roman"/>
          <w:sz w:val="24"/>
          <w:szCs w:val="24"/>
        </w:rPr>
        <w:t xml:space="preserve">, </w:t>
      </w:r>
      <w:r w:rsidRPr="00D56DCE">
        <w:rPr>
          <w:rFonts w:ascii="Times New Roman" w:hAnsi="Times New Roman"/>
          <w:sz w:val="24"/>
          <w:szCs w:val="24"/>
        </w:rPr>
        <w:t>et al. 2024). Consequently, SD provides a suitable analytical foundation for evaluating long-term circular transition dynamics in second-life EV battery systems.</w:t>
      </w:r>
    </w:p>
    <w:p w14:paraId="2E484BC9" w14:textId="77777777" w:rsidR="00E900B3" w:rsidRPr="00D56DCE" w:rsidRDefault="00E900B3" w:rsidP="00E900B3">
      <w:pPr>
        <w:spacing w:after="120" w:line="240" w:lineRule="auto"/>
        <w:ind w:firstLine="720"/>
        <w:jc w:val="both"/>
        <w:rPr>
          <w:rFonts w:ascii="Times New Roman" w:hAnsi="Times New Roman" w:cs="Times New Roman"/>
          <w:sz w:val="24"/>
          <w:szCs w:val="24"/>
        </w:rPr>
      </w:pPr>
      <w:r w:rsidRPr="00D56DCE">
        <w:rPr>
          <w:rFonts w:ascii="Times New Roman" w:hAnsi="Times New Roman" w:cs="Times New Roman"/>
          <w:sz w:val="24"/>
          <w:szCs w:val="24"/>
        </w:rPr>
        <w:t>Despite these advantages, the application of SD in EV battery systems remains limited</w:t>
      </w:r>
      <w:r>
        <w:rPr>
          <w:rFonts w:ascii="Times New Roman" w:hAnsi="Times New Roman" w:cs="Times New Roman"/>
          <w:sz w:val="24"/>
          <w:szCs w:val="24"/>
        </w:rPr>
        <w:t xml:space="preserve"> to market (</w:t>
      </w:r>
      <w:proofErr w:type="spellStart"/>
      <w:r w:rsidRPr="00D56DCE">
        <w:rPr>
          <w:rFonts w:ascii="Times New Roman" w:hAnsi="Times New Roman" w:cs="Times New Roman"/>
          <w:sz w:val="24"/>
          <w:szCs w:val="24"/>
        </w:rPr>
        <w:t>Ginster</w:t>
      </w:r>
      <w:proofErr w:type="spellEnd"/>
      <w:r w:rsidRPr="00D56DCE">
        <w:rPr>
          <w:rFonts w:ascii="Times New Roman" w:hAnsi="Times New Roman"/>
          <w:sz w:val="24"/>
          <w:szCs w:val="24"/>
        </w:rPr>
        <w:t xml:space="preserve"> et al. </w:t>
      </w:r>
      <w:r w:rsidRPr="00D56DCE">
        <w:rPr>
          <w:rFonts w:ascii="Times New Roman" w:hAnsi="Times New Roman"/>
          <w:color w:val="141413"/>
          <w:sz w:val="24"/>
          <w:szCs w:val="24"/>
        </w:rPr>
        <w:t>2024</w:t>
      </w:r>
      <w:r w:rsidRPr="00D56DCE">
        <w:rPr>
          <w:rFonts w:ascii="Times New Roman" w:hAnsi="Times New Roman"/>
          <w:sz w:val="24"/>
          <w:szCs w:val="24"/>
        </w:rPr>
        <w:t xml:space="preserve">; </w:t>
      </w:r>
      <w:proofErr w:type="spellStart"/>
      <w:r w:rsidRPr="00D56DCE">
        <w:rPr>
          <w:rFonts w:ascii="Times New Roman" w:hAnsi="Times New Roman"/>
          <w:sz w:val="24"/>
          <w:szCs w:val="24"/>
        </w:rPr>
        <w:t>Alamerew</w:t>
      </w:r>
      <w:proofErr w:type="spellEnd"/>
      <w:r w:rsidRPr="00D56DCE">
        <w:rPr>
          <w:rFonts w:ascii="Times New Roman" w:hAnsi="Times New Roman"/>
          <w:sz w:val="24"/>
          <w:szCs w:val="24"/>
        </w:rPr>
        <w:t xml:space="preserve"> and </w:t>
      </w:r>
      <w:proofErr w:type="spellStart"/>
      <w:r w:rsidRPr="00D56DCE">
        <w:rPr>
          <w:rFonts w:ascii="Times New Roman" w:hAnsi="Times New Roman"/>
          <w:sz w:val="24"/>
          <w:szCs w:val="24"/>
        </w:rPr>
        <w:t>Brissaud</w:t>
      </w:r>
      <w:proofErr w:type="spellEnd"/>
      <w:r w:rsidRPr="00D56DCE">
        <w:rPr>
          <w:rFonts w:ascii="Times New Roman" w:hAnsi="Times New Roman"/>
          <w:sz w:val="24"/>
          <w:szCs w:val="24"/>
        </w:rPr>
        <w:t xml:space="preserve"> </w:t>
      </w:r>
      <w:r w:rsidRPr="00D56DCE">
        <w:rPr>
          <w:rFonts w:ascii="Times New Roman" w:hAnsi="Times New Roman"/>
          <w:color w:val="141413"/>
          <w:sz w:val="24"/>
          <w:szCs w:val="24"/>
        </w:rPr>
        <w:t>2020</w:t>
      </w:r>
      <w:r w:rsidRPr="00D56DCE">
        <w:rPr>
          <w:rFonts w:ascii="Times New Roman" w:hAnsi="Times New Roman"/>
          <w:sz w:val="24"/>
          <w:szCs w:val="24"/>
        </w:rPr>
        <w:t>; Shaikh</w:t>
      </w:r>
      <w:r>
        <w:rPr>
          <w:rFonts w:ascii="Times New Roman" w:hAnsi="Times New Roman"/>
          <w:sz w:val="24"/>
          <w:szCs w:val="24"/>
        </w:rPr>
        <w:t xml:space="preserve"> </w:t>
      </w:r>
      <w:r w:rsidRPr="00D56DCE">
        <w:rPr>
          <w:rFonts w:ascii="Times New Roman" w:hAnsi="Times New Roman"/>
          <w:sz w:val="24"/>
          <w:szCs w:val="24"/>
        </w:rPr>
        <w:t xml:space="preserve">et al. </w:t>
      </w:r>
      <w:r w:rsidRPr="00D56DCE">
        <w:rPr>
          <w:rFonts w:ascii="Times New Roman" w:hAnsi="Times New Roman"/>
          <w:color w:val="141413"/>
          <w:sz w:val="24"/>
          <w:szCs w:val="24"/>
        </w:rPr>
        <w:t>2023</w:t>
      </w:r>
      <w:r w:rsidRPr="00D56DCE">
        <w:rPr>
          <w:rFonts w:ascii="Times New Roman" w:hAnsi="Times New Roman"/>
          <w:sz w:val="24"/>
          <w:szCs w:val="24"/>
        </w:rPr>
        <w:t xml:space="preserve">; Kamath et al. </w:t>
      </w:r>
      <w:r w:rsidRPr="00D56DCE">
        <w:rPr>
          <w:rFonts w:ascii="Times New Roman" w:hAnsi="Times New Roman"/>
          <w:color w:val="141413"/>
          <w:sz w:val="24"/>
          <w:szCs w:val="24"/>
        </w:rPr>
        <w:t>2023</w:t>
      </w:r>
      <w:r w:rsidRPr="00D56DCE">
        <w:rPr>
          <w:rFonts w:ascii="Times New Roman" w:hAnsi="Times New Roman"/>
          <w:sz w:val="24"/>
          <w:szCs w:val="24"/>
        </w:rPr>
        <w:t xml:space="preserve">; Pratap et al. </w:t>
      </w:r>
      <w:r w:rsidRPr="00D56DCE">
        <w:rPr>
          <w:rFonts w:ascii="Times New Roman" w:hAnsi="Times New Roman"/>
          <w:color w:val="141413"/>
          <w:sz w:val="24"/>
          <w:szCs w:val="24"/>
        </w:rPr>
        <w:t>2024</w:t>
      </w:r>
      <w:r>
        <w:rPr>
          <w:rFonts w:ascii="Times New Roman" w:hAnsi="Times New Roman"/>
          <w:sz w:val="24"/>
          <w:szCs w:val="24"/>
        </w:rPr>
        <w:t xml:space="preserve">), and stationary battery market </w:t>
      </w:r>
      <w:r w:rsidRPr="00D56DCE">
        <w:rPr>
          <w:rFonts w:ascii="Times New Roman" w:hAnsi="Times New Roman"/>
          <w:sz w:val="24"/>
          <w:szCs w:val="24"/>
        </w:rPr>
        <w:t xml:space="preserve">(Kubli </w:t>
      </w:r>
      <w:r w:rsidRPr="00D56DCE">
        <w:rPr>
          <w:rFonts w:ascii="Times New Roman" w:hAnsi="Times New Roman"/>
          <w:color w:val="141413"/>
          <w:sz w:val="24"/>
          <w:szCs w:val="24"/>
        </w:rPr>
        <w:t>2018</w:t>
      </w:r>
      <w:r w:rsidRPr="00D56DCE">
        <w:rPr>
          <w:rFonts w:ascii="Times New Roman" w:hAnsi="Times New Roman"/>
          <w:sz w:val="24"/>
          <w:szCs w:val="24"/>
        </w:rPr>
        <w:t xml:space="preserve">; Kubli and </w:t>
      </w:r>
      <w:proofErr w:type="spellStart"/>
      <w:r w:rsidRPr="00D56DCE">
        <w:rPr>
          <w:rFonts w:ascii="Times New Roman" w:hAnsi="Times New Roman"/>
          <w:sz w:val="24"/>
          <w:szCs w:val="24"/>
        </w:rPr>
        <w:t>Canzi</w:t>
      </w:r>
      <w:proofErr w:type="spellEnd"/>
      <w:r w:rsidRPr="00D56DCE">
        <w:rPr>
          <w:rFonts w:ascii="Times New Roman" w:hAnsi="Times New Roman"/>
          <w:sz w:val="24"/>
          <w:szCs w:val="24"/>
        </w:rPr>
        <w:t xml:space="preserve"> </w:t>
      </w:r>
      <w:r w:rsidRPr="00D56DCE">
        <w:rPr>
          <w:rFonts w:ascii="Times New Roman" w:hAnsi="Times New Roman"/>
          <w:color w:val="141413"/>
          <w:sz w:val="24"/>
          <w:szCs w:val="24"/>
        </w:rPr>
        <w:t>2021</w:t>
      </w:r>
      <w:r w:rsidRPr="00D56DCE">
        <w:rPr>
          <w:rFonts w:ascii="Times New Roman" w:hAnsi="Times New Roman"/>
          <w:sz w:val="24"/>
          <w:szCs w:val="24"/>
        </w:rPr>
        <w:t>)</w:t>
      </w:r>
      <w:r w:rsidRPr="00D56DCE">
        <w:rPr>
          <w:rFonts w:ascii="Times New Roman" w:hAnsi="Times New Roman" w:cs="Times New Roman"/>
          <w:sz w:val="24"/>
          <w:szCs w:val="24"/>
        </w:rPr>
        <w:t>. This limitation restricts understanding of how governance fragmentation, diagnostic uncertainty, repurposing quality, and recycling pressure co-evolve over time in emerging economy contexts.</w:t>
      </w:r>
    </w:p>
    <w:p w14:paraId="26902667" w14:textId="6C9ECE5A" w:rsidR="00E900B3" w:rsidRPr="00733BEB" w:rsidRDefault="00E900B3" w:rsidP="00E900B3">
      <w:pPr>
        <w:spacing w:after="120" w:line="240" w:lineRule="auto"/>
        <w:jc w:val="both"/>
        <w:rPr>
          <w:rFonts w:ascii="Times New Roman" w:hAnsi="Times New Roman" w:cs="Times New Roman"/>
          <w:b/>
          <w:i/>
          <w:sz w:val="24"/>
          <w:szCs w:val="24"/>
        </w:rPr>
      </w:pPr>
      <w:r>
        <w:rPr>
          <w:rFonts w:ascii="Times New Roman" w:hAnsi="Times New Roman" w:cs="Times New Roman"/>
          <w:b/>
          <w:i/>
          <w:sz w:val="24"/>
          <w:szCs w:val="24"/>
        </w:rPr>
        <w:t>1</w:t>
      </w:r>
      <w:r w:rsidRPr="00733BEB">
        <w:rPr>
          <w:rFonts w:ascii="Times New Roman" w:hAnsi="Times New Roman" w:cs="Times New Roman"/>
          <w:b/>
          <w:i/>
          <w:sz w:val="24"/>
          <w:szCs w:val="24"/>
        </w:rPr>
        <w:t>.</w:t>
      </w:r>
      <w:r>
        <w:rPr>
          <w:rFonts w:ascii="Times New Roman" w:hAnsi="Times New Roman" w:cs="Times New Roman"/>
          <w:b/>
          <w:i/>
          <w:sz w:val="24"/>
          <w:szCs w:val="24"/>
        </w:rPr>
        <w:t>6</w:t>
      </w:r>
      <w:r w:rsidRPr="00733BEB">
        <w:rPr>
          <w:rFonts w:ascii="Times New Roman" w:hAnsi="Times New Roman" w:cs="Times New Roman"/>
          <w:b/>
          <w:i/>
          <w:sz w:val="24"/>
          <w:szCs w:val="24"/>
        </w:rPr>
        <w:t>. Synthesis of Existing Studies and Identification of Research Gaps</w:t>
      </w:r>
    </w:p>
    <w:p w14:paraId="031E02BB" w14:textId="77777777" w:rsidR="00E900B3" w:rsidRPr="00733BEB" w:rsidRDefault="00E900B3" w:rsidP="00E900B3">
      <w:pPr>
        <w:spacing w:after="120" w:line="240" w:lineRule="auto"/>
        <w:jc w:val="both"/>
        <w:rPr>
          <w:rFonts w:ascii="Times New Roman" w:hAnsi="Times New Roman" w:cs="Times New Roman"/>
          <w:sz w:val="24"/>
          <w:szCs w:val="24"/>
        </w:rPr>
      </w:pPr>
      <w:r w:rsidRPr="00733BEB">
        <w:rPr>
          <w:rFonts w:ascii="Times New Roman" w:hAnsi="Times New Roman" w:cs="Times New Roman"/>
          <w:sz w:val="24"/>
          <w:szCs w:val="24"/>
        </w:rPr>
        <w:t>A synthesis of the literature reviewed in Sections 2.1–2.</w:t>
      </w:r>
      <w:r>
        <w:rPr>
          <w:rFonts w:ascii="Times New Roman" w:hAnsi="Times New Roman" w:cs="Times New Roman"/>
          <w:sz w:val="24"/>
          <w:szCs w:val="24"/>
        </w:rPr>
        <w:t>5</w:t>
      </w:r>
      <w:r w:rsidRPr="00733BEB">
        <w:rPr>
          <w:rFonts w:ascii="Times New Roman" w:hAnsi="Times New Roman" w:cs="Times New Roman"/>
          <w:sz w:val="24"/>
          <w:szCs w:val="24"/>
        </w:rPr>
        <w:t xml:space="preserve"> indicates that research on second-life EV battery systems has expanded significantly across sustainability, circular economy, supply chain governance, risk assessment domains</w:t>
      </w:r>
      <w:r>
        <w:rPr>
          <w:rFonts w:ascii="Times New Roman" w:hAnsi="Times New Roman" w:cs="Times New Roman"/>
          <w:sz w:val="24"/>
          <w:szCs w:val="24"/>
        </w:rPr>
        <w:t xml:space="preserve"> and dynamic behavioral simulation</w:t>
      </w:r>
      <w:r w:rsidRPr="00733BEB">
        <w:rPr>
          <w:rFonts w:ascii="Times New Roman" w:hAnsi="Times New Roman" w:cs="Times New Roman"/>
          <w:sz w:val="24"/>
          <w:szCs w:val="24"/>
        </w:rPr>
        <w:t xml:space="preserve">. Prior studies have demonstrated the environmental and decarbonization potential of battery repurposing, particularly in emerging economies where energy demand growth and infrastructure constraints intensify the need for resource-efficient solutions </w:t>
      </w:r>
      <w:r w:rsidRPr="00733BEB">
        <w:rPr>
          <w:rFonts w:ascii="Times New Roman" w:hAnsi="Times New Roman" w:cs="Times New Roman"/>
          <w:sz w:val="24"/>
          <w:szCs w:val="24"/>
        </w:rPr>
        <w:fldChar w:fldCharType="begin">
          <w:fldData xml:space="preserve">PEVuZE5vdGU+PENpdGU+PEF1dGhvcj5UaGFrdXI8L0F1dGhvcj48WWVhcj4yMDIyPC9ZZWFyPjxS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PEVuZE5vdGU+PENpdGU+PEF1dGhvcj5UaGFrdXI8L0F1dGhvcj48WWVhcj4yMDIyPC9ZZWFyPjxS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(Jiaying Cui et al., 2023; Hassan et al., 2023; Thakur et al., 2022)</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Parallel research has examined supply chain configurations and governance challenges, emphasizing fragmentation, informality, and institutional capacity gaps in emerging contexts </w:t>
      </w:r>
      <w:r w:rsidRPr="00733BEB">
        <w:rPr>
          <w:rFonts w:ascii="Times New Roman" w:hAnsi="Times New Roman" w:cs="Times New Roman"/>
          <w:sz w:val="24"/>
          <w:szCs w:val="24"/>
        </w:rPr>
        <w:fldChar w:fldCharType="begin">
          <w:fldData xml:space="preserve">PEVuZE5vdGU+PENpdGU+PEF1dGhvcj5TaWx2ZXN0cmU8L0F1dGhvcj48WWVhcj4yMDE1PC9ZZWFy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PEVuZE5vdGU+PENpdGU+PEF1dGhvcj5TaWx2ZXN0cmU8L0F1dGhvcj48WWVhcj4yMDE1PC9ZZWFy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(Kebir et al., 2023; Silvestre, 2015; Sorooshian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Meanwhile, sustainability-oriented decision-support methods, including entropy-based weighting, multi-criteria decision-making (MCDM), DEMATEL, and FMEA, have been applied to prioritize criteria, explore causal relationships, and assess operational risks in complex supply chains </w:t>
      </w:r>
      <w:r w:rsidRPr="00733BEB">
        <w:rPr>
          <w:rFonts w:ascii="Times New Roman" w:hAnsi="Times New Roman" w:cs="Times New Roman"/>
          <w:sz w:val="24"/>
          <w:szCs w:val="24"/>
        </w:rPr>
        <w:fldChar w:fldCharType="begin">
          <w:fldData xml:space="preserve">PEVuZE5vdGU+PENpdGU+PEF1dGhvcj5GZXJkb3VzPC9BdXRob3I+PFllYXI+MjAyNTwvWWVhcj48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PEVuZE5vdGU+PENpdGU+PEF1dGhvcj5GZXJkb3VzPC9BdXRob3I+PFllYXI+MjAyNTwvWWVhcj48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(Ferdous, 2025a; Shen &amp; Tzeng, 2018; Yadav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However, as synthesized in Table 1, these research streams largely evolve in parallel. Studies on circular decarbonization often emphasize environmental performance without explicitly modeling risk propagation, while risk-based analyses tend to focus on safety or operational failures without linking them systematically to circular and decarbonization objectives in emerging-economy supply chains.</w:t>
      </w:r>
    </w:p>
    <w:p w14:paraId="5CC4BA5A" w14:textId="77777777" w:rsidR="00DA6D9C" w:rsidRDefault="00DA6D9C" w:rsidP="00E900B3">
      <w:pPr>
        <w:spacing w:after="120" w:line="240" w:lineRule="auto"/>
        <w:jc w:val="center"/>
        <w:rPr>
          <w:rFonts w:ascii="Times New Roman" w:hAnsi="Times New Roman" w:cs="Times New Roman"/>
          <w:sz w:val="24"/>
          <w:szCs w:val="24"/>
        </w:rPr>
      </w:pPr>
    </w:p>
    <w:p w14:paraId="315B7416" w14:textId="1AC398AC" w:rsidR="00E900B3" w:rsidRPr="00733BEB" w:rsidRDefault="00E900B3" w:rsidP="00E900B3">
      <w:pPr>
        <w:spacing w:after="120" w:line="240" w:lineRule="auto"/>
        <w:jc w:val="center"/>
        <w:rPr>
          <w:rFonts w:ascii="Times New Roman" w:hAnsi="Times New Roman" w:cs="Times New Roman"/>
          <w:sz w:val="24"/>
          <w:szCs w:val="24"/>
        </w:rPr>
      </w:pPr>
      <w:r w:rsidRPr="00733BEB">
        <w:rPr>
          <w:rFonts w:ascii="Times New Roman" w:hAnsi="Times New Roman" w:cs="Times New Roman"/>
          <w:sz w:val="24"/>
          <w:szCs w:val="24"/>
        </w:rPr>
        <w:t xml:space="preserve">Table </w:t>
      </w:r>
      <w:r w:rsidR="00860957">
        <w:rPr>
          <w:rFonts w:ascii="Times New Roman" w:hAnsi="Times New Roman" w:cs="Times New Roman"/>
          <w:sz w:val="24"/>
          <w:szCs w:val="24"/>
        </w:rPr>
        <w:t>A.</w:t>
      </w:r>
      <w:r w:rsidRPr="00733BEB">
        <w:rPr>
          <w:rFonts w:ascii="Times New Roman" w:hAnsi="Times New Roman" w:cs="Times New Roman"/>
          <w:sz w:val="24"/>
          <w:szCs w:val="24"/>
        </w:rPr>
        <w:t>1. Existing Studies on Second-Life EV Battery Sustainability and Research Gaps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37"/>
        <w:gridCol w:w="2337"/>
        <w:gridCol w:w="2338"/>
        <w:gridCol w:w="2338"/>
      </w:tblGrid>
      <w:tr w:rsidR="00E900B3" w:rsidRPr="00733BEB" w14:paraId="524171B1" w14:textId="77777777" w:rsidTr="00D56DCE">
        <w:tc>
          <w:tcPr>
            <w:tcW w:w="2337" w:type="dxa"/>
          </w:tcPr>
          <w:p w14:paraId="1C8133A8" w14:textId="77777777" w:rsidR="00E900B3" w:rsidRPr="00733BEB" w:rsidRDefault="00E900B3" w:rsidP="00D56DCE">
            <w:pPr>
              <w:rPr>
                <w:rFonts w:ascii="Times New Roman" w:hAnsi="Times New Roman" w:cs="Times New Roman"/>
                <w:b/>
                <w:bCs/>
                <w:sz w:val="24"/>
                <w:szCs w:val="24"/>
              </w:rPr>
            </w:pPr>
            <w:r w:rsidRPr="00733BEB">
              <w:rPr>
                <w:rFonts w:ascii="Times New Roman" w:hAnsi="Times New Roman" w:cs="Times New Roman"/>
                <w:b/>
                <w:bCs/>
              </w:rPr>
              <w:lastRenderedPageBreak/>
              <w:t>Research Stream</w:t>
            </w:r>
          </w:p>
        </w:tc>
        <w:tc>
          <w:tcPr>
            <w:tcW w:w="2337" w:type="dxa"/>
          </w:tcPr>
          <w:p w14:paraId="23A77F56" w14:textId="77777777" w:rsidR="00E900B3" w:rsidRPr="00733BEB" w:rsidRDefault="00E900B3" w:rsidP="00D56DCE">
            <w:pPr>
              <w:rPr>
                <w:rFonts w:ascii="Times New Roman" w:hAnsi="Times New Roman" w:cs="Times New Roman"/>
                <w:b/>
                <w:bCs/>
                <w:sz w:val="24"/>
                <w:szCs w:val="24"/>
              </w:rPr>
            </w:pPr>
            <w:r w:rsidRPr="00733BEB">
              <w:rPr>
                <w:rFonts w:ascii="Times New Roman" w:hAnsi="Times New Roman" w:cs="Times New Roman"/>
                <w:b/>
                <w:bCs/>
              </w:rPr>
              <w:t>Sources</w:t>
            </w:r>
          </w:p>
        </w:tc>
        <w:tc>
          <w:tcPr>
            <w:tcW w:w="2338" w:type="dxa"/>
          </w:tcPr>
          <w:p w14:paraId="6BCCCEC5" w14:textId="77777777" w:rsidR="00E900B3" w:rsidRPr="00733BEB" w:rsidRDefault="00E900B3" w:rsidP="00D56DCE">
            <w:pPr>
              <w:rPr>
                <w:rFonts w:ascii="Times New Roman" w:hAnsi="Times New Roman" w:cs="Times New Roman"/>
                <w:b/>
                <w:bCs/>
                <w:sz w:val="24"/>
                <w:szCs w:val="24"/>
              </w:rPr>
            </w:pPr>
            <w:r w:rsidRPr="00733BEB">
              <w:rPr>
                <w:rFonts w:ascii="Times New Roman" w:hAnsi="Times New Roman" w:cs="Times New Roman"/>
                <w:b/>
                <w:bCs/>
              </w:rPr>
              <w:t>Primary Focus</w:t>
            </w:r>
          </w:p>
        </w:tc>
        <w:tc>
          <w:tcPr>
            <w:tcW w:w="2338" w:type="dxa"/>
          </w:tcPr>
          <w:p w14:paraId="2B25552D" w14:textId="77777777" w:rsidR="00E900B3" w:rsidRPr="00733BEB" w:rsidRDefault="00E900B3" w:rsidP="00D56DCE">
            <w:pPr>
              <w:rPr>
                <w:rFonts w:ascii="Times New Roman" w:hAnsi="Times New Roman" w:cs="Times New Roman"/>
                <w:b/>
                <w:bCs/>
                <w:sz w:val="24"/>
                <w:szCs w:val="24"/>
              </w:rPr>
            </w:pPr>
            <w:r w:rsidRPr="00733BEB">
              <w:rPr>
                <w:rFonts w:ascii="Times New Roman" w:hAnsi="Times New Roman" w:cs="Times New Roman"/>
                <w:b/>
                <w:bCs/>
              </w:rPr>
              <w:t>Limitation Identified</w:t>
            </w:r>
          </w:p>
        </w:tc>
      </w:tr>
      <w:tr w:rsidR="00E900B3" w:rsidRPr="00733BEB" w14:paraId="5FA643DF" w14:textId="77777777" w:rsidTr="00D56DCE">
        <w:tc>
          <w:tcPr>
            <w:tcW w:w="2337" w:type="dxa"/>
          </w:tcPr>
          <w:p w14:paraId="33B3850B"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Sustainable circular decarbonization of second-life batteries</w:t>
            </w:r>
          </w:p>
        </w:tc>
        <w:tc>
          <w:tcPr>
            <w:tcW w:w="2337" w:type="dxa"/>
          </w:tcPr>
          <w:p w14:paraId="0903C680"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AuthorYear="1"&gt;&lt;Author&gt;Thakur&lt;/Author&gt;&lt;Year&gt;2022&lt;/Year&gt;&lt;RecNum&gt;1&lt;/RecNum&gt;&lt;DisplayText&gt;Thakur et al. (2022)&lt;/DisplayText&gt;&lt;record&gt;&lt;rec-number&gt;1&lt;/rec-number&gt;&lt;foreign-keys&gt;&lt;key app="EN" db-id="2e950ez96eprpyeafx65vzz4a29z2ew5dxa0" timestamp="1770985390"&gt;1&lt;/key&gt;&lt;/foreign-keys&gt;&lt;ref-type name="Journal Article"&gt;17&lt;/ref-type&gt;&lt;contributors&gt;&lt;authors&gt;&lt;author&gt;Thakur, Jagruti&lt;/author&gt;&lt;author&gt;Martins Leite de Almeida, Constança&lt;/author&gt;&lt;author&gt;Baskar, Ashish Guhan&lt;/author&gt;&lt;/authors&gt;&lt;/contributors&gt;&lt;titles&gt;&lt;title&gt;Electric vehicle batteries for a circular economy: Second life batteries as residential stationary storage&lt;/title&gt;&lt;secondary-title&gt;Journal of Cleaner Production&lt;/secondary-title&gt;&lt;/titles&gt;&lt;periodical&gt;&lt;full-title&gt;Journal of Cleaner Production&lt;/full-title&gt;&lt;/periodical&gt;&lt;pages&gt;134066&lt;/pages&gt;&lt;volume&gt;375&lt;/volume&gt;&lt;keywords&gt;&lt;keyword&gt;Vehicle to grid (V2G)&lt;/keyword&gt;&lt;keyword&gt;Demand side management&lt;/keyword&gt;&lt;keyword&gt;Solar PV&lt;/keyword&gt;&lt;keyword&gt;Storage&lt;/keyword&gt;&lt;keyword&gt;Second-life of batteries&lt;/keyword&gt;&lt;keyword&gt;Circular economy&lt;/keyword&gt;&lt;/keywords&gt;&lt;dates&gt;&lt;year&gt;2022&lt;/year&gt;&lt;pub-dates&gt;&lt;date&gt;2022/11/15/&lt;/date&gt;&lt;/pub-dates&gt;&lt;/dates&gt;&lt;isbn&gt;0959-6526&lt;/isbn&gt;&lt;urls&gt;&lt;related-urls&gt;&lt;url&gt;https://www.sciencedirect.com/science/article/pii/S0959652622036381&lt;/url&gt;&lt;/related-urls&gt;&lt;/urls&gt;&lt;electronic-resource-num&gt;https://doi.org/10.1016/j.jclepro.2022.134066&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Thakur et al. (2022)</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AuthorYear="1"&gt;&lt;Author&gt;Hassan&lt;/Author&gt;&lt;Year&gt;2023&lt;/Year&gt;&lt;RecNum&gt;18&lt;/RecNum&gt;&lt;DisplayText&gt;Hassan et al. (2023)&lt;/DisplayText&gt;&lt;record&gt;&lt;rec-number&gt;18&lt;/rec-number&gt;&lt;foreign-keys&gt;&lt;key app="EN" db-id="2e950ez96eprpyeafx65vzz4a29z2ew5dxa0" timestamp="1771003328"&gt;18&lt;/key&gt;&lt;/foreign-keys&gt;&lt;ref-type name="Electronic Article"&gt;43&lt;/ref-type&gt;&lt;contributors&gt;&lt;authors&gt;&lt;author&gt;Hassan, Ali&lt;/author&gt;&lt;author&gt;Khan, Shahid A.&lt;/author&gt;&lt;author&gt;Li, Rongheng&lt;/author&gt;&lt;author&gt;Su, Wencong&lt;/author&gt;&lt;author&gt;Zhou, Xuan&lt;/author&gt;&lt;author&gt;Wang, Mengqi&lt;/author&gt;&lt;author&gt;Wang, Bin&lt;/author&gt;&lt;/authors&gt;&lt;/contributors&gt;&lt;titles&gt;&lt;title&gt;Second-Life Batteries: A Review on Power Grid Applications, Degradation Mechanisms, and Power Electronics Interface Architectures&lt;/title&gt;&lt;secondary-title&gt;Batteries&lt;/secondary-title&gt;&lt;/titles&gt;&lt;periodical&gt;&lt;full-title&gt;Batteries&lt;/full-title&gt;&lt;/periodical&gt;&lt;pages&gt;571&lt;/pages&gt;&lt;volume&gt;9&lt;/volume&gt;&lt;number&gt;12&lt;/number&gt;&lt;keywords&gt;&lt;keyword&gt;second-life batteries&lt;/keyword&gt;&lt;keyword&gt;retired battery power grid applications&lt;/keyword&gt;&lt;keyword&gt;battery degradation&lt;/keyword&gt;&lt;keyword&gt;power electronics interface&lt;/keyword&gt;&lt;keyword&gt;battery management system&lt;/keyword&gt;&lt;/keywords&gt;&lt;dates&gt;&lt;year&gt;2023&lt;/year&gt;&lt;/dates&gt;&lt;isbn&gt;2313-0105&lt;/isbn&gt;&lt;urls&gt;&lt;/urls&gt;&lt;electronic-resource-num&gt;10.3390/batteries9120571&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Hassan et al. (2023)</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&lt;EndNote&gt;&lt;Cite&gt;&lt;Author&gt;Cui&lt;/Author&gt;&lt;Year&gt;2023&lt;/Year&gt;&lt;RecNum&gt;19&lt;/RecNum&gt;&lt;DisplayText&gt;(Jiaying Cui et al., 2023)&lt;/DisplayText&gt;&lt;record&gt;&lt;rec-number&gt;19&lt;/rec-number&gt;&lt;foreign-keys&gt;&lt;key app="EN" db-id="2e950ez96eprpyeafx65vzz4a29z2ew5dxa0" timestamp="1771003423"&gt;19&lt;/key&gt;&lt;/foreign-keys&gt;&lt;ref-type name="Journal Article"&gt;17&lt;/ref-type&gt;&lt;contributors&gt;&lt;authors&gt;&lt;author&gt;Cui, Jiaying&lt;/author&gt;&lt;author&gt;Tan, Quanyin&lt;/author&gt;&lt;author&gt;Liu, Lili&lt;/author&gt;&lt;author&gt;Li, Jinhui&lt;/author&gt;&lt;/authors&gt;&lt;/contributors&gt;&lt;titles&gt;&lt;title&gt;Environmental Benefit Assessment of Second-Life Use of Electric Vehicle Lithium-Ion Batteries in Multiple Scenarios Considering Performance Degradation and Economic Value&lt;/title&gt;&lt;secondary-title&gt;Environmental Science &amp;amp; Technology&lt;/secondary-title&gt;&lt;/titles&gt;&lt;periodical&gt;&lt;full-title&gt;Environmental Science &amp;amp; Technology&lt;/full-title&gt;&lt;/periodical&gt;&lt;pages&gt;8559-8567&lt;/pages&gt;&lt;volume&gt;57&lt;/volume&gt;&lt;number&gt;23&lt;/number&gt;&lt;dates&gt;&lt;year&gt;2023&lt;/year&gt;&lt;pub-dates&gt;&lt;date&gt;2023/06/13&lt;/date&gt;&lt;/pub-dates&gt;&lt;/dates&gt;&lt;publisher&gt;American Chemical Society&lt;/publisher&gt;&lt;isbn&gt;0013-936X&lt;/isbn&gt;&lt;urls&gt;&lt;related-urls&gt;&lt;url&gt;https://doi.org/10.1021/acs.est.3c00506&lt;/url&gt;&lt;/related-urls&gt;&lt;/urls&gt;&lt;electronic-resource-num&gt;10.1021/acs.est.3c00506&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(Jiaying Cui et al., 2023)</w:t>
            </w:r>
            <w:r w:rsidRPr="00733BEB">
              <w:rPr>
                <w:rFonts w:ascii="Times New Roman" w:hAnsi="Times New Roman" w:cs="Times New Roman"/>
              </w:rPr>
              <w:fldChar w:fldCharType="end"/>
            </w:r>
          </w:p>
        </w:tc>
        <w:tc>
          <w:tcPr>
            <w:tcW w:w="2338" w:type="dxa"/>
          </w:tcPr>
          <w:p w14:paraId="70E2C542"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Environmental benefits, lifecycle emissions, renewable integration</w:t>
            </w:r>
          </w:p>
        </w:tc>
        <w:tc>
          <w:tcPr>
            <w:tcW w:w="2338" w:type="dxa"/>
          </w:tcPr>
          <w:p w14:paraId="46B66DFC"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Limited explicit integration of systemic risk and failure propagation</w:t>
            </w:r>
          </w:p>
        </w:tc>
      </w:tr>
      <w:tr w:rsidR="00E900B3" w:rsidRPr="00733BEB" w14:paraId="7C5E0DD0" w14:textId="77777777" w:rsidTr="00D56DCE">
        <w:tc>
          <w:tcPr>
            <w:tcW w:w="2337" w:type="dxa"/>
          </w:tcPr>
          <w:p w14:paraId="0886AE5D"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Supply chain governance in emerging economies</w:t>
            </w:r>
          </w:p>
        </w:tc>
        <w:tc>
          <w:tcPr>
            <w:tcW w:w="2337" w:type="dxa"/>
          </w:tcPr>
          <w:p w14:paraId="31DBCBED"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AuthorYear="1"&gt;&lt;Author&gt;Silvestre&lt;/Author&gt;&lt;Year&gt;2015&lt;/Year&gt;&lt;RecNum&gt;26&lt;/RecNum&gt;&lt;DisplayText&gt;Silvestre (2015)&lt;/DisplayText&gt;&lt;record&gt;&lt;rec-number&gt;26&lt;/rec-number&gt;&lt;foreign-keys&gt;&lt;key app="EN" db-id="2e950ez96eprpyeafx65vzz4a29z2ew5dxa0" timestamp="1771246319"&gt;26&lt;/key&gt;&lt;/foreign-keys&gt;&lt;ref-type name="Journal Article"&gt;17&lt;/ref-type&gt;&lt;contributors&gt;&lt;authors&gt;&lt;author&gt;Silvestre, Bruno S.&lt;/author&gt;&lt;/authors&gt;&lt;/contributors&gt;&lt;titles&gt;&lt;title&gt;Sustainable supply chain management in emerging economies: Environmental turbulence, institutional voids and sustainability trajectories&lt;/title&gt;&lt;secondary-title&gt;International Journal of Production Economics&lt;/secondary-title&gt;&lt;/titles&gt;&lt;periodical&gt;&lt;full-title&gt;International Journal of Production Economics&lt;/full-title&gt;&lt;/periodical&gt;&lt;pages&gt;156-169&lt;/pages&gt;&lt;volume&gt;167&lt;/volume&gt;&lt;keywords&gt;&lt;keyword&gt;Sustainable supply chains&lt;/keyword&gt;&lt;keyword&gt;Environmental turbulence&lt;/keyword&gt;&lt;keyword&gt;Institutional voids&lt;/keyword&gt;&lt;keyword&gt;Extreme ambiguity&lt;/keyword&gt;&lt;keyword&gt;Innovation&lt;/keyword&gt;&lt;keyword&gt;Supply chain learning loops&lt;/keyword&gt;&lt;keyword&gt;Supply chain sustainability trajectories&lt;/keyword&gt;&lt;keyword&gt;Emerging economies&lt;/keyword&gt;&lt;/keywords&gt;&lt;dates&gt;&lt;year&gt;2015&lt;/year&gt;&lt;pub-dates&gt;&lt;date&gt;2015/09/01/&lt;/date&gt;&lt;/pub-dates&gt;&lt;/dates&gt;&lt;isbn&gt;0925-5273&lt;/isbn&gt;&lt;urls&gt;&lt;related-urls&gt;&lt;url&gt;https://www.sciencedirect.com/science/article/pii/S0925527315001772&lt;/url&gt;&lt;/related-urls&gt;&lt;/urls&gt;&lt;electronic-resource-num&gt;https://doi.org/10.1016/j.ijpe.2015.05.025&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Silvestre (2015)</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&lt;EndNote&gt;&lt;Cite&gt;&lt;Author&gt;Kebir&lt;/Author&gt;&lt;Year&gt;2023&lt;/Year&gt;&lt;RecNum&gt;25&lt;/RecNum&gt;&lt;DisplayText&gt;(Kebir et al., 2023)&lt;/DisplayText&gt;&lt;record&gt;&lt;rec-number&gt;25&lt;/rec-number&gt;&lt;foreign-keys&gt;&lt;key app="EN" db-id="2e950ez96eprpyeafx65vzz4a29z2ew5dxa0" timestamp="1771246136"&gt;25&lt;/key&gt;&lt;/foreign-keys&gt;&lt;ref-type name="Journal Article"&gt;17&lt;/ref-type&gt;&lt;contributors&gt;&lt;authors&gt;&lt;author&gt;Kebir, Nisrine&lt;/author&gt;&lt;author&gt;Leonard, Alycia&lt;/author&gt;&lt;author&gt;Downey, Michael&lt;/author&gt;&lt;author&gt;Jones, Bernie&lt;/author&gt;&lt;author&gt;Rabie, Khaled&lt;/author&gt;&lt;author&gt;Bhagavathy, Sivapriya Mothilal&lt;/author&gt;&lt;author&gt;Hirmer, Stephanie A.&lt;/author&gt;&lt;/authors&gt;&lt;/contributors&gt;&lt;titles&gt;&lt;title&gt;Second-life battery systems for affordable energy access in Kenyan primary schools&lt;/title&gt;&lt;secondary-title&gt;Scientific Reports&lt;/secondary-title&gt;&lt;/titles&gt;&lt;periodical&gt;&lt;full-title&gt;Scientific Reports&lt;/full-title&gt;&lt;/periodical&gt;&lt;pages&gt;1374&lt;/pages&gt;&lt;volume&gt;13&lt;/volume&gt;&lt;number&gt;1&lt;/number&gt;&lt;dates&gt;&lt;year&gt;2023&lt;/year&gt;&lt;pub-dates&gt;&lt;date&gt;2023/01/25&lt;/date&gt;&lt;/pub-dates&gt;&lt;/dates&gt;&lt;isbn&gt;2045-2322&lt;/isbn&gt;&lt;urls&gt;&lt;related-urls&gt;&lt;url&gt;https://doi.org/10.1038/s41598-023-28377-7&lt;/url&gt;&lt;/related-urls&gt;&lt;/urls&gt;&lt;electronic-resource-num&gt;10.1038/s41598-023-28377-7&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(Kebir et al., 2023)</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&lt;EndNote&gt;&lt;Cite&gt;&lt;Author&gt;Sorooshian&lt;/Author&gt;&lt;Year&gt;2024&lt;/Year&gt;&lt;RecNum&gt;27&lt;/RecNum&gt;&lt;DisplayText&gt;(Sorooshian et al., 2024)&lt;/DisplayText&gt;&lt;record&gt;&lt;rec-number&gt;27&lt;/rec-number&gt;&lt;foreign-keys&gt;&lt;key app="EN" db-id="2e950ez96eprpyeafx65vzz4a29z2ew5dxa0" timestamp="1771246456"&gt;27&lt;/key&gt;&lt;/foreign-keys&gt;&lt;ref-type name="Journal Article"&gt;17&lt;/ref-type&gt;&lt;contributors&gt;&lt;authors&gt;&lt;author&gt;Sorooshian, Shahryar&lt;/author&gt;&lt;author&gt;Khiavi, Sina Fazel&lt;/author&gt;&lt;author&gt;Karimi, Farzane&lt;/author&gt;&lt;author&gt;Mina, Hassan&lt;/author&gt;&lt;/authors&gt;&lt;/contributors&gt;&lt;titles&gt;&lt;title&gt;Link between sustainable circular supply chain and Internet of Things technology in electric vehicle battery manufacturing industry: A business strategy optimization for pickup and delivery&lt;/title&gt;&lt;secondary-title&gt;Business Strategy and the Environment&lt;/secondary-title&gt;&lt;/titles&gt;&lt;periodical&gt;&lt;full-title&gt;Business Strategy and the Environment&lt;/full-title&gt;&lt;/periodical&gt;&lt;pages&gt;8211-8232&lt;/pages&gt;&lt;volume&gt;33&lt;/volume&gt;&lt;number&gt;8&lt;/number&gt;&lt;keywords&gt;&lt;keyword&gt;circular economy&lt;/keyword&gt;&lt;keyword&gt;Industry 4.0&lt;/keyword&gt;&lt;keyword&gt;Internet of Things (IoT)&lt;/keyword&gt;&lt;keyword&gt;optimization&lt;/keyword&gt;&lt;keyword&gt;simultaneous pickup and delivery&lt;/keyword&gt;&lt;keyword&gt;sustainable supply chain&lt;/keyword&gt;&lt;/keywords&gt;&lt;dates&gt;&lt;year&gt;2024&lt;/year&gt;&lt;pub-dates&gt;&lt;date&gt;2024/12/01&lt;/date&gt;&lt;/pub-dates&gt;&lt;/dates&gt;&lt;publisher&gt;John Wiley &amp;amp; Sons, Ltd&lt;/publisher&gt;&lt;isbn&gt;0964-4733&lt;/isbn&gt;&lt;urls&gt;&lt;related-urls&gt;&lt;url&gt;https://doi.org/10.1002/bse.3905&lt;/url&gt;&lt;/related-urls&gt;&lt;/urls&gt;&lt;electronic-resource-num&gt;https://doi.org/10.1002/bse.3905&lt;/electronic-resource-num&gt;&lt;access-date&gt;2026/02/16&lt;/access-date&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(Sorooshian et al., 2024)</w:t>
            </w:r>
            <w:r w:rsidRPr="00733BEB">
              <w:rPr>
                <w:rFonts w:ascii="Times New Roman" w:hAnsi="Times New Roman" w:cs="Times New Roman"/>
              </w:rPr>
              <w:fldChar w:fldCharType="end"/>
            </w:r>
          </w:p>
        </w:tc>
        <w:tc>
          <w:tcPr>
            <w:tcW w:w="2338" w:type="dxa"/>
          </w:tcPr>
          <w:p w14:paraId="582B0808"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Institutional fragmentation, informality, and coordination challenges</w:t>
            </w:r>
          </w:p>
        </w:tc>
        <w:tc>
          <w:tcPr>
            <w:tcW w:w="2338" w:type="dxa"/>
          </w:tcPr>
          <w:p w14:paraId="05DFF8F2"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Insufficient linkage between governance risks and decarbonization outcomes</w:t>
            </w:r>
          </w:p>
        </w:tc>
      </w:tr>
      <w:tr w:rsidR="00E900B3" w:rsidRPr="00733BEB" w14:paraId="009E77C1" w14:textId="77777777" w:rsidTr="00D56DCE">
        <w:tc>
          <w:tcPr>
            <w:tcW w:w="2337" w:type="dxa"/>
          </w:tcPr>
          <w:p w14:paraId="3F44E3B7"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Technological and operational risk assessment</w:t>
            </w:r>
          </w:p>
        </w:tc>
        <w:tc>
          <w:tcPr>
            <w:tcW w:w="2337" w:type="dxa"/>
          </w:tcPr>
          <w:p w14:paraId="50E0C6C2"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AuthorYear="1"&gt;&lt;Author&gt;Akram&lt;/Author&gt;&lt;Year&gt;2024&lt;/Year&gt;&lt;RecNum&gt;12&lt;/RecNum&gt;&lt;DisplayText&gt;Akram and Abdul-Kader (2024)&lt;/DisplayText&gt;&lt;record&gt;&lt;rec-number&gt;12&lt;/rec-number&gt;&lt;foreign-keys&gt;&lt;key app="EN" db-id="2e950ez96eprpyeafx65vzz4a29z2ew5dxa0" timestamp="1770989490"&gt;12&lt;/key&gt;&lt;/foreign-keys&gt;&lt;ref-type name="Electronic Article"&gt;43&lt;/ref-type&gt;&lt;contributors&gt;&lt;authors&gt;&lt;author&gt;Akram, Muhammad N.&lt;/author&gt;&lt;author&gt;Abdul-Kader, Walid&lt;/author&gt;&lt;/authors&gt;&lt;/contributors&gt;&lt;titles&gt;&lt;title&gt;Repurposing Second-Life EV Batteries to Advance Sustainable Development: A Comprehensive Review&lt;/title&gt;&lt;secondary-title&gt;Batteries&lt;/secondary-title&gt;&lt;/titles&gt;&lt;periodical&gt;&lt;full-title&gt;Batteries&lt;/full-title&gt;&lt;/periodical&gt;&lt;pages&gt;452&lt;/pages&gt;&lt;volume&gt;10&lt;/volume&gt;&lt;number&gt;12&lt;/number&gt;&lt;keywords&gt;&lt;keyword&gt;sustainable development goals&lt;/keyword&gt;&lt;keyword&gt;repurposing&lt;/keyword&gt;&lt;keyword&gt;second-life battery&lt;/keyword&gt;&lt;keyword&gt;stationary applications&lt;/keyword&gt;&lt;keyword&gt;environmental benefits&lt;/keyword&gt;&lt;keyword&gt;battery aging mechanism&lt;/keyword&gt;&lt;/keywords&gt;&lt;dates&gt;&lt;year&gt;2024&lt;/year&gt;&lt;/dates&gt;&lt;isbn&gt;2313-0105&lt;/isbn&gt;&lt;urls&gt;&lt;/urls&gt;&lt;electronic-resource-num&gt;10.3390/batteries10120452&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Akram and Abdul-Kader (2024)</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AuthorYear="1"&gt;&lt;Author&gt;Kirana&lt;/Author&gt;&lt;Year&gt;2023&lt;/Year&gt;&lt;RecNum&gt;9&lt;/RecNum&gt;&lt;DisplayText&gt;Kirana et al. (2023)&lt;/DisplayText&gt;&lt;record&gt;&lt;rec-number&gt;9&lt;/rec-number&gt;&lt;foreign-keys&gt;&lt;key app="EN" db-id="2e950ez96eprpyeafx65vzz4a29z2ew5dxa0" timestamp="1770988919"&gt;9&lt;/key&gt;&lt;/foreign-keys&gt;&lt;ref-type name="Journal Article"&gt;17&lt;/ref-type&gt;&lt;contributors&gt;&lt;authors&gt;&lt;author&gt;Kirana, Rizky Cahya&lt;/author&gt;&lt;author&gt;Purwanto, Nicco Avinta&lt;/author&gt;&lt;author&gt;Azis, Nadana Ayzah&lt;/author&gt;&lt;author&gt;Joelianto, Endra&lt;/author&gt;&lt;author&gt;Santosa, Sigit Puji&lt;/author&gt;&lt;author&gt;Budiman, Bentang Arief&lt;/author&gt;&lt;author&gt;Nguyen, Le Hoa&lt;/author&gt;&lt;author&gt;Turnip, Arjon&lt;/author&gt;&lt;/authors&gt;&lt;/contributors&gt;&lt;titles&gt;&lt;title&gt;Failure assessment in lithium-ion battery packs in electric vehicles using the failure modes and effects analysis (FMEA) approach&lt;/title&gt;&lt;secondary-title&gt;Journal of Mechatronics, Electrical Power, and Vehicular Technology&lt;/secondary-title&gt;&lt;/titles&gt;&lt;periodical&gt;&lt;full-title&gt;Journal of Mechatronics, Electrical Power, and Vehicular Technology&lt;/full-title&gt;&lt;/periodical&gt;&lt;pages&gt;94-104&lt;/pages&gt;&lt;volume&gt;14&lt;/volume&gt;&lt;number&gt;1&lt;/number&gt;&lt;dates&gt;&lt;year&gt;2023&lt;/year&gt;&lt;/dates&gt;&lt;isbn&gt;2088-6985&lt;/isbn&gt;&lt;urls&gt;&lt;/urls&gt;&lt;electronic-resource-num&gt;https://doi.org/10.14203/j.mev.2023.v14.94-104&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Kirana et al. (2023)</w:t>
            </w:r>
            <w:r w:rsidRPr="00733BEB">
              <w:rPr>
                <w:rFonts w:ascii="Times New Roman" w:hAnsi="Times New Roman" w:cs="Times New Roman"/>
              </w:rPr>
              <w:fldChar w:fldCharType="end"/>
            </w:r>
            <w:r w:rsidRPr="00733BEB">
              <w:rPr>
                <w:rFonts w:ascii="Times New Roman" w:hAnsi="Times New Roman" w:cs="Times New Roman"/>
              </w:rPr>
              <w:t xml:space="preserve">; </w:t>
            </w:r>
          </w:p>
        </w:tc>
        <w:tc>
          <w:tcPr>
            <w:tcW w:w="2338" w:type="dxa"/>
          </w:tcPr>
          <w:p w14:paraId="5A35F42A" w14:textId="77777777" w:rsidR="00E900B3" w:rsidRPr="00733BEB" w:rsidRDefault="00E900B3" w:rsidP="00D56DCE">
            <w:pPr>
              <w:rPr>
                <w:rFonts w:ascii="Times New Roman" w:hAnsi="Times New Roman" w:cs="Times New Roman"/>
                <w:sz w:val="24"/>
                <w:szCs w:val="24"/>
              </w:rPr>
            </w:pPr>
            <w:proofErr w:type="spellStart"/>
            <w:r w:rsidRPr="00733BEB">
              <w:rPr>
                <w:rFonts w:ascii="Times New Roman" w:hAnsi="Times New Roman" w:cs="Times New Roman"/>
              </w:rPr>
              <w:t>SoH</w:t>
            </w:r>
            <w:proofErr w:type="spellEnd"/>
            <w:r w:rsidRPr="00733BEB">
              <w:rPr>
                <w:rFonts w:ascii="Times New Roman" w:hAnsi="Times New Roman" w:cs="Times New Roman"/>
              </w:rPr>
              <w:t xml:space="preserve"> uncertainty, safety hazards, logistics failures</w:t>
            </w:r>
          </w:p>
        </w:tc>
        <w:tc>
          <w:tcPr>
            <w:tcW w:w="2338" w:type="dxa"/>
          </w:tcPr>
          <w:p w14:paraId="62E4DA7A"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Risk identification often isolated from system-level sustainability pathways</w:t>
            </w:r>
          </w:p>
        </w:tc>
      </w:tr>
      <w:tr w:rsidR="00E900B3" w:rsidRPr="00733BEB" w14:paraId="106F68DF" w14:textId="77777777" w:rsidTr="00D56DCE">
        <w:tc>
          <w:tcPr>
            <w:tcW w:w="2337" w:type="dxa"/>
          </w:tcPr>
          <w:p w14:paraId="5A64DD23"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Multi-criteria and causal decision frameworks</w:t>
            </w:r>
          </w:p>
        </w:tc>
        <w:tc>
          <w:tcPr>
            <w:tcW w:w="2337" w:type="dxa"/>
          </w:tcPr>
          <w:p w14:paraId="6A846021"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AuthorYear="1"&gt;&lt;Author&gt;Ferdous&lt;/Author&gt;&lt;Year&gt;2025&lt;/Year&gt;&lt;RecNum&gt;38&lt;/RecNum&gt;&lt;DisplayText&gt;Ferdous (2025a)&lt;/DisplayText&gt;&lt;record&gt;&lt;rec-number&gt;38&lt;/rec-number&gt;&lt;foreign-keys&gt;&lt;key app="EN" db-id="varrr5rpxvvzrvefvd1xtwt0evst20vezr5f" timestamp="1771027281"&gt;38&lt;/key&gt;&lt;/foreign-keys&gt;&lt;ref-type name="Journal Article"&gt;17&lt;/ref-type&gt;&lt;contributors&gt;&lt;authors&gt;&lt;author&gt;Ferdous, Jannatul&lt;/author&gt;&lt;/authors&gt;&lt;/contributors&gt;&lt;titles&gt;&lt;title&gt;Sustainable EV Battery Recycling Infrastructure: A Review of Site Selection Frameworks and Decision Models&lt;/title&gt;&lt;secondary-title&gt;International Journal of Innovative Science and Research Technology&lt;/secondary-title&gt;&lt;/titles&gt;&lt;periodical&gt;&lt;full-title&gt;International Journal of Innovative Science and Research Technology&lt;/full-title&gt;&lt;/periodical&gt;&lt;pages&gt;2243-2258&lt;/pages&gt;&lt;volume&gt;10&lt;/volume&gt;&lt;number&gt;8&lt;/number&gt;&lt;dates&gt;&lt;year&gt;2025&lt;/year&gt;&lt;/dates&gt;&lt;urls&gt;&lt;/urls&gt;&lt;electronic-resource-num&gt;https://doi.org/10.38124/ijisrt/25aug987&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Ferdous (2025a)</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AuthorYear="1"&gt;&lt;Author&gt;Shen&lt;/Author&gt;&lt;Year&gt;2018&lt;/Year&gt;&lt;RecNum&gt;23&lt;/RecNum&gt;&lt;DisplayText&gt;Shen and Tzeng (2018)&lt;/DisplayText&gt;&lt;record&gt;&lt;rec-number&gt;23&lt;/rec-number&gt;&lt;foreign-keys&gt;&lt;key app="EN" db-id="2e950ez96eprpyeafx65vzz4a29z2ew5dxa0" timestamp="1771245944"&gt;23&lt;/key&gt;&lt;/foreign-keys&gt;&lt;ref-type name="Electronic Article"&gt;43&lt;/ref-type&gt;&lt;contributors&gt;&lt;authors&gt;&lt;author&gt;Shen, Kao-Yi&lt;/author&gt;&lt;author&gt;Tzeng, Gwo-Hshiung&lt;/author&gt;&lt;/authors&gt;&lt;/contributors&gt;&lt;titles&gt;&lt;title&gt;Advances in Multiple Criteria Decision Making for Sustainability: Modeling and Applications&lt;/title&gt;&lt;secondary-title&gt;Sustainability&lt;/secondary-title&gt;&lt;/titles&gt;&lt;periodical&gt;&lt;full-title&gt;Sustainability&lt;/full-title&gt;&lt;/periodical&gt;&lt;pages&gt;1600&lt;/pages&gt;&lt;volume&gt;10&lt;/volume&gt;&lt;number&gt;5&lt;/number&gt;&lt;keywords&gt;&lt;keyword&gt;sustainable development&lt;/keyword&gt;&lt;keyword&gt;multiple criteria decision making (MCDM)&lt;/keyword&gt;&lt;keyword&gt;problem-solving&lt;/keyword&gt;&lt;keyword&gt;optimization&lt;/keyword&gt;&lt;keyword&gt;decision aid&lt;/keyword&gt;&lt;keyword&gt;computational intelligence&lt;/keyword&gt;&lt;keyword&gt;machine learning (ML)&lt;/keyword&gt;&lt;keyword&gt;artificial intelligence (AI)&lt;/keyword&gt;&lt;keyword&gt;soft computing&lt;/keyword&gt;&lt;keyword&gt;fuzzy sets&lt;/keyword&gt;&lt;keyword&gt;rough set theory (RST)&lt;/keyword&gt;&lt;/keywords&gt;&lt;dates&gt;&lt;year&gt;2018&lt;/year&gt;&lt;/dates&gt;&lt;isbn&gt;2071-1050&lt;/isbn&gt;&lt;urls&gt;&lt;/urls&gt;&lt;electronic-resource-num&gt;10.3390/su10051600&lt;/electronic-resource-num&gt;&lt;/record&gt;&lt;/Cite&gt;&lt;/EndNote&gt;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Shen and Tzeng (2018)</w:t>
            </w:r>
            <w:r w:rsidRPr="00733BEB">
              <w:rPr>
                <w:rFonts w:ascii="Times New Roman" w:hAnsi="Times New Roman" w:cs="Times New Roman"/>
              </w:rPr>
              <w:fldChar w:fldCharType="end"/>
            </w:r>
            <w:r w:rsidRPr="00733BEB">
              <w:rPr>
                <w:rFonts w:ascii="Times New Roman" w:hAnsi="Times New Roman" w:cs="Times New Roman"/>
              </w:rPr>
              <w:t xml:space="preserve">;  </w:t>
            </w:r>
            <w:r w:rsidRPr="00733BEB">
              <w:rPr>
                <w:rFonts w:ascii="Times New Roman" w:hAnsi="Times New Roman" w:cs="Times New Roman"/>
              </w:rPr>
              <w:fldChar w:fldCharType="begin"/>
            </w:r>
            <w:r w:rsidRPr="00733BEB">
              <w:rPr>
                <w:rFonts w:ascii="Times New Roman" w:hAnsi="Times New Roman" w:cs="Times New Roman"/>
              </w:rPr>
              <w:instrText xml:space="preserve"> ADDIN EN.CITE &lt;EndNote&gt;&lt;Cite AuthorYear="1"&gt;&lt;Author&gt;Yadav&lt;/Author&gt;&lt;Year&gt;2024&lt;/Year&gt;&lt;RecNum&gt;24&lt;/RecNum&gt;&lt;DisplayText&gt;Yadav et al. (2024)&lt;/DisplayText&gt;&lt;record&gt;&lt;rec-number&gt;24&lt;/rec-number&gt;&lt;foreign-keys&gt;&lt;key app="EN" db-id="2e950ez96eprpyeafx65vzz4a29z2ew5dxa0" timestamp="1771246018"&gt;24&lt;/key&gt;&lt;/foreign-keys&gt;&lt;ref-type name="Electronic Article"&gt;43&lt;/ref-type&gt;&lt;contributors&gt;&lt;authors&gt;&lt;author&gt;Yadav, Alok&lt;/author&gt;&lt;author&gt;Sachdeva, Anish&lt;/author&gt;&lt;author&gt;Garg, Rajiv K.&lt;/author&gt;&lt;author&gt;Qureshi, Karishma M.&lt;/author&gt;&lt;author&gt;Mewada, Bhavesh G.&lt;/author&gt;&lt;author&gt;Qureshi, Mohamed R.&lt;/author&gt;&lt;author&gt;Mansour, Mohamed&lt;/author&gt;&lt;/authors&gt;&lt;/contributors&gt;&lt;titles&gt;&lt;title&gt;Achieving Net-Zero in the Manufacturing Supply Chain through Carbon Capture and LCA: A Comprehensive Framework with BWM-Fuzzy DEMATEL&lt;/title&gt;&lt;secondary-title&gt;Sustainability&lt;/secondary-title&gt;&lt;/titles&gt;&lt;periodical&gt;&lt;full-title&gt;Sustainability&lt;/full-title&gt;&lt;/periodical&gt;&lt;pages&gt;6972&lt;/pages&gt;&lt;volume&gt;16&lt;/volume&gt;&lt;number&gt;16&lt;/number&gt;&lt;keywords&gt;&lt;keyword&gt;net zero supply chain&lt;/keyword&gt;&lt;keyword&gt;manufacturing&lt;/keyword&gt;&lt;keyword&gt;carbon capture&lt;/keyword&gt;&lt;keyword&gt;life cycle assessment&lt;/keyword&gt;&lt;keyword&gt;enablers&lt;/keyword&gt;&lt;keyword&gt;BWM&lt;/keyword&gt;&lt;keyword&gt;F-DEMATEL&lt;/keyword&gt;&lt;/keywords&gt;&lt;dates&gt;&lt;year&gt;2024&lt;/year&gt;&lt;/dates&gt;&lt;isbn&gt;2071-1050&lt;/isbn&gt;&lt;urls&gt;&lt;/urls&gt;&lt;electronic-resource-num&gt;10.3390/su16166972&lt;/electronic-resource-num&gt;&lt;/record&gt;&lt;/Cite&gt;&lt;/EndNote&gt;</w:instrText>
            </w:r>
            <w:r w:rsidRPr="00733BEB">
              <w:rPr>
                <w:rFonts w:ascii="Times New Roman" w:hAnsi="Times New Roman" w:cs="Times New Roman"/>
              </w:rPr>
              <w:fldChar w:fldCharType="separate"/>
            </w:r>
            <w:r w:rsidRPr="00733BEB">
              <w:rPr>
                <w:rFonts w:ascii="Times New Roman" w:hAnsi="Times New Roman" w:cs="Times New Roman"/>
                <w:noProof/>
              </w:rPr>
              <w:t>Yadav et al. (2024)</w:t>
            </w:r>
            <w:r w:rsidRPr="00733BEB">
              <w:rPr>
                <w:rFonts w:ascii="Times New Roman" w:hAnsi="Times New Roman" w:cs="Times New Roman"/>
              </w:rPr>
              <w:fldChar w:fldCharType="end"/>
            </w:r>
          </w:p>
        </w:tc>
        <w:tc>
          <w:tcPr>
            <w:tcW w:w="2338" w:type="dxa"/>
          </w:tcPr>
          <w:p w14:paraId="7368C42D"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Criteria weighting, causal mapping, decision prioritization</w:t>
            </w:r>
          </w:p>
        </w:tc>
        <w:tc>
          <w:tcPr>
            <w:tcW w:w="2338" w:type="dxa"/>
          </w:tcPr>
          <w:p w14:paraId="153AEBA9" w14:textId="77777777" w:rsidR="00E900B3" w:rsidRPr="00733BEB" w:rsidRDefault="00E900B3" w:rsidP="00D56DCE">
            <w:pPr>
              <w:rPr>
                <w:rFonts w:ascii="Times New Roman" w:hAnsi="Times New Roman" w:cs="Times New Roman"/>
                <w:sz w:val="24"/>
                <w:szCs w:val="24"/>
              </w:rPr>
            </w:pPr>
            <w:r w:rsidRPr="00733BEB">
              <w:rPr>
                <w:rFonts w:ascii="Times New Roman" w:hAnsi="Times New Roman" w:cs="Times New Roman"/>
              </w:rPr>
              <w:t>Methods frequently applied independently without integrated entropy–causal–failure synthesis</w:t>
            </w:r>
          </w:p>
        </w:tc>
      </w:tr>
    </w:tbl>
    <w:p w14:paraId="1D16E883" w14:textId="36FF38C7" w:rsidR="00E900B3" w:rsidRDefault="00E900B3" w:rsidP="00E900B3">
      <w:pPr>
        <w:spacing w:before="120" w:after="12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Building on the comparative insights presented in Table </w:t>
      </w:r>
      <w:r w:rsidR="00DA6D9C">
        <w:rPr>
          <w:rFonts w:ascii="Times New Roman" w:hAnsi="Times New Roman" w:cs="Times New Roman"/>
          <w:sz w:val="24"/>
          <w:szCs w:val="24"/>
        </w:rPr>
        <w:t>A.</w:t>
      </w:r>
      <w:r w:rsidRPr="00733BEB">
        <w:rPr>
          <w:rFonts w:ascii="Times New Roman" w:hAnsi="Times New Roman" w:cs="Times New Roman"/>
          <w:sz w:val="24"/>
          <w:szCs w:val="24"/>
        </w:rPr>
        <w:t xml:space="preserve">1, a clear research gap emerges at the intersection of sustainability objectives, causal interdependencies, and operational risk prioritization in second-life EV battery supply chains operating in emerging economies. Although previous studies acknowledge uncertainty, safety concerns, and governance fragmentation </w:t>
      </w:r>
      <w:r w:rsidRPr="00733BEB">
        <w:rPr>
          <w:rFonts w:ascii="Times New Roman" w:hAnsi="Times New Roman" w:cs="Times New Roman"/>
          <w:sz w:val="24"/>
          <w:szCs w:val="24"/>
        </w:rPr>
        <w:fldChar w:fldCharType="begin">
          <w:fldData xml:space="preserve">PEVuZE5vdGU+PENpdGU+PEF1dGhvcj5Ba3JhbTwvQXV0aG9yPjxZZWFyPjIwMjQ8L1llYXI+PFJl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PEVuZE5vdGU+PENpdGU+PEF1dGhvcj5Ba3JhbTwvQXV0aG9yPjxZZWFyPjIwMjQ8L1llYXI+PFJl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(Akram &amp; Abdul-Kader, 2024; Kirana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few provide an integrated analytical structure capable of simultaneously (1) determining the relative importance of sustainability-related risks, (2) modeling their cause–effect interactions, and (3) translating these interactions into prioritized failure modes that directly threaten circular decarbonization outcomes. Existing MCDM and causal approaches contribute valuable insights </w:t>
      </w:r>
      <w:r w:rsidRPr="00733BEB">
        <w:rPr>
          <w:rFonts w:ascii="Times New Roman" w:hAnsi="Times New Roman" w:cs="Times New Roman"/>
          <w:sz w:val="24"/>
          <w:szCs w:val="24"/>
        </w:rPr>
        <w:fldChar w:fldCharType="begin">
          <w:fldData xml:space="preserve">PEVuZE5vdGU+PENpdGU+PEF1dGhvcj5TaGVuPC9BdXRob3I+PFllYXI+MjAxODwvWWVhcj48UmVj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</w:fldData>
        </w:fldChar>
      </w:r>
      <w:r w:rsidRPr="00733BEB">
        <w:rPr>
          <w:rFonts w:ascii="Times New Roman" w:hAnsi="Times New Roman" w:cs="Times New Roman"/>
          <w:sz w:val="24"/>
          <w:szCs w:val="24"/>
        </w:rPr>
        <w:instrText xml:space="preserve"> ADDIN EN.CITE </w:instrText>
      </w:r>
      <w:r w:rsidRPr="00733BEB">
        <w:rPr>
          <w:rFonts w:ascii="Times New Roman" w:hAnsi="Times New Roman" w:cs="Times New Roman"/>
          <w:sz w:val="24"/>
          <w:szCs w:val="24"/>
        </w:rPr>
        <w:fldChar w:fldCharType="begin">
          <w:fldData xml:space="preserve">PEVuZE5vdGU+PENpdGU+PEF1dGhvcj5TaGVuPC9BdXRob3I+PFllYXI+MjAxODwvWWVhcj48UmVj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</w:fldData>
        </w:fldChar>
      </w:r>
      <w:r w:rsidRPr="00733BEB">
        <w:rPr>
          <w:rFonts w:ascii="Times New Roman" w:hAnsi="Times New Roman" w:cs="Times New Roman"/>
          <w:sz w:val="24"/>
          <w:szCs w:val="24"/>
        </w:rPr>
        <w:instrText xml:space="preserve"> ADDIN EN.CITE.DATA </w:instrText>
      </w:r>
      <w:r w:rsidRPr="00733BEB">
        <w:rPr>
          <w:rFonts w:ascii="Times New Roman" w:hAnsi="Times New Roman" w:cs="Times New Roman"/>
          <w:sz w:val="24"/>
          <w:szCs w:val="24"/>
        </w:rPr>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(Primadasa et al., 2025; Shen &amp; Tzeng, 2018)</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yet their fragmented application limits system-level interpretation in contexts characterized by regulatory ambiguity, heterogeneous battery conditions, and limited data availability. Addressing these limitations, the present study advances an integrated Entropy–DEMATEL–FMEA framework that explicitly connects sustainability drivers, systemic causality, and operational failure risks. By doing so, it provides a coherent and context-sensitive decision-support tool that strengthens theoretical understanding of risk-conditioned circular decarbonization and enhances practical guidance for emerging-economy second-life EV battery ecosystems.</w:t>
      </w:r>
    </w:p>
    <w:p w14:paraId="7E2E96EC" w14:textId="77777777" w:rsidR="00E900B3" w:rsidRDefault="00E900B3" w:rsidP="00E900B3">
      <w:pPr>
        <w:spacing w:before="120" w:after="120" w:line="240" w:lineRule="auto"/>
        <w:jc w:val="both"/>
        <w:rPr>
          <w:rFonts w:ascii="Times New Roman" w:hAnsi="Times New Roman" w:cs="Times New Roman"/>
          <w:sz w:val="24"/>
          <w:szCs w:val="24"/>
        </w:rPr>
      </w:pPr>
    </w:p>
    <w:p w14:paraId="050D851C" w14:textId="021C0805" w:rsidR="00E900B3" w:rsidRDefault="00E900B3"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bCs/>
          <w:i/>
          <w:iCs/>
          <w:sz w:val="24"/>
          <w:szCs w:val="24"/>
        </w:rPr>
      </w:pPr>
      <w:r w:rsidRPr="00E900B3">
        <w:rPr>
          <w:rFonts w:ascii="Times New Roman" w:hAnsi="Times New Roman" w:cs="Times New Roman"/>
          <w:b/>
          <w:i/>
          <w:sz w:val="24"/>
          <w:szCs w:val="24"/>
        </w:rPr>
        <w:t>Entropy</w:t>
      </w:r>
      <w:r w:rsidRPr="00E900B3">
        <w:rPr>
          <w:rFonts w:ascii="Times New Roman" w:hAnsi="Times New Roman" w:cs="Times New Roman"/>
          <w:b/>
          <w:bCs/>
          <w:i/>
          <w:iCs/>
          <w:sz w:val="24"/>
          <w:szCs w:val="24"/>
        </w:rPr>
        <w:t xml:space="preserve"> Weighting of Sustainability-Circularity Risk Factors</w:t>
      </w:r>
    </w:p>
    <w:p w14:paraId="0E229303" w14:textId="77777777" w:rsidR="006B6AA1" w:rsidRPr="006B6AA1" w:rsidRDefault="006B6AA1" w:rsidP="00E900B3">
      <w:pPr>
        <w:spacing w:after="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 xml:space="preserve">The following is the detailed steps used for Entropy weighting calculation </w:t>
      </w:r>
      <w:proofErr w:type="spellStart"/>
      <w:r w:rsidRPr="006B6AA1">
        <w:rPr>
          <w:rFonts w:ascii="Times New Roman" w:hAnsi="Times New Roman" w:cs="Times New Roman"/>
          <w:sz w:val="24"/>
          <w:szCs w:val="24"/>
          <w:lang w:val="en-ID"/>
        </w:rPr>
        <w:t>ini</w:t>
      </w:r>
      <w:proofErr w:type="spellEnd"/>
      <w:r w:rsidRPr="006B6AA1">
        <w:rPr>
          <w:rFonts w:ascii="Times New Roman" w:hAnsi="Times New Roman" w:cs="Times New Roman"/>
          <w:sz w:val="24"/>
          <w:szCs w:val="24"/>
          <w:lang w:val="en-ID"/>
        </w:rPr>
        <w:t xml:space="preserve"> this study:</w:t>
      </w:r>
    </w:p>
    <w:p w14:paraId="31506D4B" w14:textId="77777777" w:rsidR="006B6AA1" w:rsidRDefault="006B6AA1" w:rsidP="00E900B3">
      <w:pPr>
        <w:spacing w:after="0" w:line="240" w:lineRule="auto"/>
        <w:jc w:val="both"/>
        <w:rPr>
          <w:rFonts w:ascii="Times New Roman" w:hAnsi="Times New Roman" w:cs="Times New Roman"/>
          <w:i/>
          <w:iCs/>
          <w:sz w:val="24"/>
          <w:szCs w:val="24"/>
          <w:lang w:val="en-ID"/>
        </w:rPr>
      </w:pPr>
    </w:p>
    <w:p w14:paraId="0E7AFE3C" w14:textId="5F6E9B80" w:rsidR="00E900B3" w:rsidRPr="00E900B3" w:rsidRDefault="00E900B3" w:rsidP="00E900B3">
      <w:pPr>
        <w:spacing w:after="0" w:line="240" w:lineRule="auto"/>
        <w:jc w:val="both"/>
        <w:rPr>
          <w:rFonts w:ascii="Times New Roman" w:hAnsi="Times New Roman" w:cs="Times New Roman"/>
          <w:i/>
          <w:iCs/>
          <w:sz w:val="24"/>
          <w:szCs w:val="24"/>
          <w:lang w:val="en-ID"/>
        </w:rPr>
      </w:pPr>
      <w:r w:rsidRPr="00E900B3">
        <w:rPr>
          <w:rFonts w:ascii="Times New Roman" w:hAnsi="Times New Roman" w:cs="Times New Roman"/>
          <w:i/>
          <w:iCs/>
          <w:sz w:val="24"/>
          <w:szCs w:val="24"/>
          <w:lang w:val="en-ID"/>
        </w:rPr>
        <w:t>Step 1: Normalization</w:t>
      </w:r>
    </w:p>
    <w:p w14:paraId="1F77F939" w14:textId="77777777" w:rsidR="00E900B3" w:rsidRPr="006B6AA1" w:rsidRDefault="00E900B3" w:rsidP="006B6AA1">
      <w:pPr>
        <w:spacing w:after="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To eliminate scale differences among expert evaluations, the matrix is normalized as:</w:t>
      </w:r>
    </w:p>
    <w:p w14:paraId="58A0D23D" w14:textId="0A4276D0" w:rsidR="00E900B3" w:rsidRPr="006B6AA1" w:rsidRDefault="00000000" w:rsidP="006B6AA1">
      <w:pPr>
        <w:spacing w:after="0"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num>
            <m:den>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e>
              </m:nary>
            </m:den>
          </m:f>
        </m:oMath>
      </m:oMathPara>
    </w:p>
    <w:p w14:paraId="2CAE5E24" w14:textId="77777777" w:rsidR="00E900B3" w:rsidRPr="006B6AA1" w:rsidRDefault="00E900B3" w:rsidP="006B6AA1">
      <w:pPr>
        <w:spacing w:line="240" w:lineRule="auto"/>
        <w:jc w:val="both"/>
        <w:rPr>
          <w:rFonts w:ascii="Times New Roman" w:hAnsi="Times New Roman" w:cs="Times New Roman"/>
          <w:sz w:val="24"/>
          <w:szCs w:val="24"/>
        </w:rPr>
      </w:pPr>
      <w:r w:rsidRPr="006B6AA1">
        <w:rPr>
          <w:rFonts w:ascii="Times New Roman" w:hAnsi="Times New Roman" w:cs="Times New Roman"/>
          <w:sz w:val="24"/>
          <w:szCs w:val="24"/>
        </w:rPr>
        <w:t xml:space="preserve">where </w:t>
      </w:r>
      <w:proofErr w:type="spellStart"/>
      <w:r w:rsidRPr="006B6AA1">
        <w:rPr>
          <w:rFonts w:ascii="Times New Roman" w:hAnsi="Times New Roman" w:cs="Times New Roman"/>
          <w:sz w:val="24"/>
          <w:szCs w:val="24"/>
        </w:rPr>
        <w:t>p</w:t>
      </w:r>
      <w:r w:rsidRPr="006B6AA1">
        <w:rPr>
          <w:rFonts w:ascii="Times New Roman" w:hAnsi="Times New Roman" w:cs="Times New Roman"/>
          <w:sz w:val="24"/>
          <w:szCs w:val="24"/>
          <w:vertAlign w:val="subscript"/>
        </w:rPr>
        <w:t>ij</w:t>
      </w:r>
      <w:proofErr w:type="spellEnd"/>
      <w:r w:rsidRPr="006B6AA1">
        <w:rPr>
          <w:rFonts w:ascii="Times New Roman" w:hAnsi="Times New Roman" w:cs="Times New Roman"/>
          <w:sz w:val="24"/>
          <w:szCs w:val="24"/>
        </w:rPr>
        <w:t xml:space="preserve">​ represents the proportional contribution of expert group </w:t>
      </w:r>
      <w:proofErr w:type="spellStart"/>
      <w:r w:rsidRPr="006B6AA1">
        <w:rPr>
          <w:rFonts w:ascii="Times New Roman" w:hAnsi="Times New Roman" w:cs="Times New Roman"/>
          <w:sz w:val="24"/>
          <w:szCs w:val="24"/>
        </w:rPr>
        <w:t>i</w:t>
      </w:r>
      <w:proofErr w:type="spellEnd"/>
      <w:r w:rsidRPr="006B6AA1">
        <w:rPr>
          <w:rFonts w:ascii="Times New Roman" w:hAnsi="Times New Roman" w:cs="Times New Roman"/>
          <w:sz w:val="24"/>
          <w:szCs w:val="24"/>
        </w:rPr>
        <w:t xml:space="preserve"> to risk factor j.</w:t>
      </w:r>
    </w:p>
    <w:p w14:paraId="385E637F" w14:textId="77777777" w:rsidR="00E900B3" w:rsidRPr="006B6AA1" w:rsidRDefault="00E900B3" w:rsidP="006B6AA1">
      <w:pPr>
        <w:spacing w:after="0" w:line="240" w:lineRule="auto"/>
        <w:jc w:val="both"/>
        <w:rPr>
          <w:rFonts w:ascii="Times New Roman" w:hAnsi="Times New Roman" w:cs="Times New Roman"/>
          <w:i/>
          <w:iCs/>
          <w:sz w:val="24"/>
          <w:szCs w:val="24"/>
          <w:lang w:val="en-ID"/>
        </w:rPr>
      </w:pPr>
      <w:r w:rsidRPr="006B6AA1">
        <w:rPr>
          <w:rFonts w:ascii="Times New Roman" w:hAnsi="Times New Roman" w:cs="Times New Roman"/>
          <w:i/>
          <w:iCs/>
          <w:sz w:val="24"/>
          <w:szCs w:val="24"/>
          <w:lang w:val="en-ID"/>
        </w:rPr>
        <w:lastRenderedPageBreak/>
        <w:t>Step 2: Entropy Value Calculation</w:t>
      </w:r>
    </w:p>
    <w:p w14:paraId="181BBF81" w14:textId="77777777" w:rsidR="00E900B3" w:rsidRPr="006B6AA1" w:rsidRDefault="00E900B3" w:rsidP="006B6AA1">
      <w:pPr>
        <w:spacing w:after="0" w:line="240" w:lineRule="auto"/>
        <w:rPr>
          <w:rFonts w:ascii="Times New Roman" w:hAnsi="Times New Roman" w:cs="Times New Roman"/>
          <w:sz w:val="24"/>
          <w:szCs w:val="24"/>
          <w:lang w:val="en-ID"/>
        </w:rPr>
      </w:pPr>
      <w:r w:rsidRPr="006B6AA1">
        <w:rPr>
          <w:rFonts w:ascii="Times New Roman" w:hAnsi="Times New Roman" w:cs="Times New Roman"/>
          <w:sz w:val="24"/>
          <w:szCs w:val="24"/>
          <w:lang w:val="en-ID"/>
        </w:rPr>
        <w:t>The entropy value of each risk factor j is calculated as:</w:t>
      </w:r>
    </w:p>
    <w:p w14:paraId="7B8E6C76" w14:textId="77777777" w:rsidR="00E900B3" w:rsidRPr="006B6AA1" w:rsidRDefault="00000000" w:rsidP="006B6AA1">
      <w:pPr>
        <w:spacing w:after="0" w:line="240" w:lineRule="auto"/>
        <w:jc w:val="center"/>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e</m:t>
            </m:r>
          </m:e>
          <m:sub>
            <m:r>
              <w:rPr>
                <w:rFonts w:ascii="Cambria Math" w:hAnsi="Cambria Math" w:cs="Times New Roman"/>
                <w:sz w:val="24"/>
                <w:szCs w:val="24"/>
                <w:lang w:val="en-ID"/>
              </w:rPr>
              <m:t>j</m:t>
            </m:r>
          </m:sub>
        </m:sSub>
        <m:r>
          <w:rPr>
            <w:rFonts w:ascii="Cambria Math" w:hAnsi="Cambria Math" w:cs="Times New Roman"/>
            <w:sz w:val="24"/>
            <w:szCs w:val="24"/>
            <w:lang w:val="en-ID"/>
          </w:rPr>
          <m:t>=-k</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i=1</m:t>
            </m:r>
          </m:sub>
          <m:sup>
            <m:r>
              <w:rPr>
                <w:rFonts w:ascii="Cambria Math" w:hAnsi="Cambria Math" w:cs="Times New Roman"/>
                <w:sz w:val="24"/>
                <w:szCs w:val="24"/>
                <w:lang w:val="en-ID"/>
              </w:rPr>
              <m:t>m</m:t>
            </m:r>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ij</m:t>
                </m:r>
              </m:sub>
            </m:sSub>
            <m:r>
              <m:rPr>
                <m:sty m:val="p"/>
              </m:rPr>
              <w:rPr>
                <w:rFonts w:ascii="Cambria Math" w:hAnsi="Cambria Math" w:cs="Times New Roman"/>
                <w:sz w:val="24"/>
                <w:szCs w:val="24"/>
                <w:lang w:val="en-ID"/>
              </w:rPr>
              <m:t>ln⁡</m:t>
            </m:r>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ij</m:t>
                </m:r>
              </m:sub>
            </m:sSub>
            <m:r>
              <w:rPr>
                <w:rFonts w:ascii="Cambria Math" w:hAnsi="Cambria Math" w:cs="Times New Roman"/>
                <w:sz w:val="24"/>
                <w:szCs w:val="24"/>
                <w:lang w:val="en-ID"/>
              </w:rPr>
              <m:t>)</m:t>
            </m:r>
          </m:e>
        </m:nary>
      </m:oMath>
      <w:r w:rsidR="00E900B3" w:rsidRPr="006B6AA1">
        <w:rPr>
          <w:rFonts w:ascii="Times New Roman" w:eastAsiaTheme="minorEastAsia" w:hAnsi="Times New Roman" w:cs="Times New Roman"/>
          <w:sz w:val="24"/>
          <w:szCs w:val="24"/>
          <w:lang w:val="en-ID"/>
        </w:rPr>
        <w:t xml:space="preserve"> where </w:t>
      </w:r>
      <m:oMath>
        <m:r>
          <w:rPr>
            <w:rFonts w:ascii="Cambria Math" w:eastAsiaTheme="minorEastAsia" w:hAnsi="Cambria Math" w:cs="Times New Roman"/>
            <w:sz w:val="24"/>
            <w:szCs w:val="24"/>
            <w:lang w:val="en-ID"/>
          </w:rPr>
          <m:t>k=</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m:rPr>
                <m:sty m:val="p"/>
              </m:rPr>
              <w:rPr>
                <w:rFonts w:ascii="Cambria Math" w:eastAsiaTheme="minorEastAsia" w:hAnsi="Cambria Math" w:cs="Times New Roman"/>
                <w:sz w:val="24"/>
                <w:szCs w:val="24"/>
                <w:lang w:val="en-ID"/>
              </w:rPr>
              <m:t>ln⁡</m:t>
            </m:r>
            <m:r>
              <w:rPr>
                <w:rFonts w:ascii="Cambria Math" w:eastAsiaTheme="minorEastAsia" w:hAnsi="Cambria Math" w:cs="Times New Roman"/>
                <w:sz w:val="24"/>
                <w:szCs w:val="24"/>
                <w:lang w:val="en-ID"/>
              </w:rPr>
              <m:t>(m)</m:t>
            </m:r>
          </m:den>
        </m:f>
      </m:oMath>
      <w:r w:rsidR="00E900B3" w:rsidRPr="006B6AA1">
        <w:rPr>
          <w:rFonts w:ascii="Times New Roman" w:eastAsiaTheme="minorEastAsia" w:hAnsi="Times New Roman" w:cs="Times New Roman"/>
          <w:sz w:val="24"/>
          <w:szCs w:val="24"/>
          <w:lang w:val="en-ID"/>
        </w:rPr>
        <w:t xml:space="preserve"> </w:t>
      </w:r>
      <w:r w:rsidR="00E900B3" w:rsidRPr="006B6AA1">
        <w:rPr>
          <w:rFonts w:ascii="Times New Roman" w:eastAsiaTheme="minorEastAsia" w:hAnsi="Times New Roman" w:cs="Times New Roman"/>
          <w:sz w:val="24"/>
          <w:szCs w:val="24"/>
        </w:rPr>
        <w:t xml:space="preserve">and 0 ≤ </w:t>
      </w:r>
      <w:proofErr w:type="spellStart"/>
      <w:r w:rsidR="00E900B3" w:rsidRPr="006B6AA1">
        <w:rPr>
          <w:rFonts w:ascii="Times New Roman" w:eastAsiaTheme="minorEastAsia" w:hAnsi="Times New Roman" w:cs="Times New Roman"/>
          <w:sz w:val="24"/>
          <w:szCs w:val="24"/>
        </w:rPr>
        <w:t>e</w:t>
      </w:r>
      <w:r w:rsidR="00E900B3" w:rsidRPr="006B6AA1">
        <w:rPr>
          <w:rFonts w:ascii="Times New Roman" w:eastAsiaTheme="minorEastAsia" w:hAnsi="Times New Roman" w:cs="Times New Roman"/>
          <w:sz w:val="24"/>
          <w:szCs w:val="24"/>
          <w:vertAlign w:val="subscript"/>
        </w:rPr>
        <w:t>j</w:t>
      </w:r>
      <w:proofErr w:type="spellEnd"/>
      <w:r w:rsidR="00E900B3" w:rsidRPr="006B6AA1">
        <w:rPr>
          <w:rFonts w:ascii="Times New Roman" w:eastAsiaTheme="minorEastAsia" w:hAnsi="Times New Roman" w:cs="Times New Roman"/>
          <w:sz w:val="24"/>
          <w:szCs w:val="24"/>
        </w:rPr>
        <w:t>≤ 1.</w:t>
      </w:r>
    </w:p>
    <w:p w14:paraId="21E3D857" w14:textId="77777777" w:rsidR="00E900B3" w:rsidRPr="006B6AA1" w:rsidRDefault="00E900B3" w:rsidP="006B6AA1">
      <w:pPr>
        <w:spacing w:line="240" w:lineRule="auto"/>
        <w:jc w:val="both"/>
        <w:rPr>
          <w:rFonts w:ascii="Times New Roman" w:hAnsi="Times New Roman" w:cs="Times New Roman"/>
          <w:sz w:val="24"/>
          <w:szCs w:val="24"/>
        </w:rPr>
      </w:pPr>
      <w:r w:rsidRPr="006B6AA1">
        <w:rPr>
          <w:rFonts w:ascii="Times New Roman" w:hAnsi="Times New Roman" w:cs="Times New Roman"/>
          <w:sz w:val="24"/>
          <w:szCs w:val="24"/>
        </w:rPr>
        <w:t xml:space="preserve">A higher entropy value indicates lower variability among expert evaluations for that specific risk (i.e., stronger consensus regarding its relative importance), whereas a lower entropy value suggests greater divergence and stronger discriminatory power among expert groups </w:t>
      </w:r>
      <w:r w:rsidRPr="006B6AA1">
        <w:rPr>
          <w:rFonts w:ascii="Times New Roman" w:hAnsi="Times New Roman" w:cs="Times New Roman"/>
          <w:sz w:val="24"/>
          <w:szCs w:val="24"/>
        </w:rPr>
        <w:fldChar w:fldCharType="begin"/>
      </w:r>
      <w:r w:rsidRPr="006B6AA1">
        <w:rPr>
          <w:rFonts w:ascii="Times New Roman" w:hAnsi="Times New Roman" w:cs="Times New Roman"/>
          <w:sz w:val="24"/>
          <w:szCs w:val="24"/>
        </w:rPr>
        <w:instrText xml:space="preserve"> ADDIN EN.CITE &lt;EndNote&gt;&lt;Cite&gt;&lt;Author&gt;Ferdous&lt;/Author&gt;&lt;Year&gt;2025&lt;/Year&gt;&lt;RecNum&gt;28&lt;/RecNum&gt;&lt;DisplayText&gt;(Ferdous, 2025b; Shen &amp;amp; Tzeng, 2018)&lt;/DisplayText&gt;&lt;record&gt;&lt;rec-number&gt;28&lt;/rec-number&gt;&lt;foreign-keys&gt;&lt;key app="EN" db-id="2e950ez96eprpyeafx65vzz4a29z2ew5dxa0" timestamp="1771246596"&gt;28&lt;/key&gt;&lt;/foreign-keys&gt;&lt;ref-type name="Journal Article"&gt;17&lt;/ref-type&gt;&lt;contributors&gt;&lt;authors&gt;&lt;author&gt;Ferdous, Jannatul&lt;/author&gt;&lt;/authors&gt;&lt;/contributors&gt;&lt;titles&gt;&lt;title&gt;Sustainable EV Battery Recycling Infrastructure: A Review of Site Selection Frameworks and Decision Models&lt;/title&gt;&lt;/titles&gt;&lt;dates&gt;&lt;year&gt;2025&lt;/year&gt;&lt;/dates&gt;&lt;urls&gt;&lt;/urls&gt;&lt;electronic-resource-num&gt;https://doi.org/10.38124/ijisrt/25aug987&lt;/electronic-resource-num&gt;&lt;/record&gt;&lt;/Cite&gt;&lt;Cite&gt;&lt;Author&gt;Shen&lt;/Author&gt;&lt;Year&gt;2018&lt;/Year&gt;&lt;RecNum&gt;23&lt;/RecNum&gt;&lt;record&gt;&lt;rec-number&gt;23&lt;/rec-number&gt;&lt;foreign-keys&gt;&lt;key app="EN" db-id="2e950ez96eprpyeafx65vzz4a29z2ew5dxa0" timestamp="1771245944"&gt;23&lt;/key&gt;&lt;/foreign-keys&gt;&lt;ref-type name="Electronic Article"&gt;43&lt;/ref-type&gt;&lt;contributors&gt;&lt;authors&gt;&lt;author&gt;Shen, Kao-Yi&lt;/author&gt;&lt;author&gt;Tzeng, Gwo-Hshiung&lt;/author&gt;&lt;/authors&gt;&lt;/contributors&gt;&lt;titles&gt;&lt;title&gt;Advances in Multiple Criteria Decision Making for Sustainability: Modeling and Applications&lt;/title&gt;&lt;secondary-title&gt;Sustainability&lt;/secondary-title&gt;&lt;/titles&gt;&lt;periodical&gt;&lt;full-title&gt;Sustainability&lt;/full-title&gt;&lt;/periodical&gt;&lt;pages&gt;1600&lt;/pages&gt;&lt;volume&gt;10&lt;/volume&gt;&lt;number&gt;5&lt;/number&gt;&lt;keywords&gt;&lt;keyword&gt;sustainable development&lt;/keyword&gt;&lt;keyword&gt;multiple criteria decision making (MCDM)&lt;/keyword&gt;&lt;keyword&gt;problem-solving&lt;/keyword&gt;&lt;keyword&gt;optimization&lt;/keyword&gt;&lt;keyword&gt;decision aid&lt;/keyword&gt;&lt;keyword&gt;computational intelligence&lt;/keyword&gt;&lt;keyword&gt;machine learning (ML)&lt;/keyword&gt;&lt;keyword&gt;artificial intelligence (AI)&lt;/keyword&gt;&lt;keyword&gt;soft computing&lt;/keyword&gt;&lt;keyword&gt;fuzzy sets&lt;/keyword&gt;&lt;keyword&gt;rough set theory (RST)&lt;/keyword&gt;&lt;/keywords&gt;&lt;dates&gt;&lt;year&gt;2018&lt;/year&gt;&lt;/dates&gt;&lt;isbn&gt;2071-1050&lt;/isbn&gt;&lt;urls&gt;&lt;/urls&gt;&lt;electronic-resource-num&gt;10.3390/su10051600&lt;/electronic-resource-num&gt;&lt;/record&gt;&lt;/Cite&gt;&lt;/EndNote&gt;</w:instrText>
      </w:r>
      <w:r w:rsidRPr="006B6AA1">
        <w:rPr>
          <w:rFonts w:ascii="Times New Roman" w:hAnsi="Times New Roman" w:cs="Times New Roman"/>
          <w:sz w:val="24"/>
          <w:szCs w:val="24"/>
        </w:rPr>
        <w:fldChar w:fldCharType="separate"/>
      </w:r>
      <w:r w:rsidRPr="006B6AA1">
        <w:rPr>
          <w:rFonts w:ascii="Times New Roman" w:hAnsi="Times New Roman" w:cs="Times New Roman"/>
          <w:noProof/>
          <w:sz w:val="24"/>
          <w:szCs w:val="24"/>
        </w:rPr>
        <w:t>(Ferdous, 2025b; Shen &amp; Tzeng, 2018)</w:t>
      </w:r>
      <w:r w:rsidRPr="006B6AA1">
        <w:rPr>
          <w:rFonts w:ascii="Times New Roman" w:hAnsi="Times New Roman" w:cs="Times New Roman"/>
          <w:sz w:val="24"/>
          <w:szCs w:val="24"/>
        </w:rPr>
        <w:fldChar w:fldCharType="end"/>
      </w:r>
      <w:r w:rsidRPr="006B6AA1">
        <w:rPr>
          <w:rFonts w:ascii="Times New Roman" w:hAnsi="Times New Roman" w:cs="Times New Roman"/>
          <w:sz w:val="24"/>
          <w:szCs w:val="24"/>
        </w:rPr>
        <w:t xml:space="preserve">. In sustainability-oriented risk assessment, this distinction is critical because variability reflects informational richness rather than inconsistency, particularly in complex systems where expert knowledge is heterogeneous and context dependent </w:t>
      </w:r>
      <w:r w:rsidRPr="006B6AA1">
        <w:rPr>
          <w:rFonts w:ascii="Times New Roman" w:hAnsi="Times New Roman" w:cs="Times New Roman"/>
          <w:sz w:val="24"/>
          <w:szCs w:val="24"/>
        </w:rPr>
        <w:fldChar w:fldCharType="begin"/>
      </w:r>
      <w:r w:rsidRPr="006B6AA1">
        <w:rPr>
          <w:rFonts w:ascii="Times New Roman" w:hAnsi="Times New Roman" w:cs="Times New Roman"/>
          <w:sz w:val="24"/>
          <w:szCs w:val="24"/>
        </w:rPr>
        <w:instrText xml:space="preserve"> ADDIN EN.CITE &lt;EndNote&gt;&lt;Cite&gt;&lt;Author&gt;Yadav&lt;/Author&gt;&lt;Year&gt;2024&lt;/Year&gt;&lt;RecNum&gt;24&lt;/RecNum&gt;&lt;DisplayText&gt;(Yadav et al., 2024)&lt;/DisplayText&gt;&lt;record&gt;&lt;rec-number&gt;24&lt;/rec-number&gt;&lt;foreign-keys&gt;&lt;key app="EN" db-id="2e950ez96eprpyeafx65vzz4a29z2ew5dxa0" timestamp="1771246018"&gt;24&lt;/key&gt;&lt;/foreign-keys&gt;&lt;ref-type name="Electronic Article"&gt;43&lt;/ref-type&gt;&lt;contributors&gt;&lt;authors&gt;&lt;author&gt;Yadav, Alok&lt;/author&gt;&lt;author&gt;Sachdeva, Anish&lt;/author&gt;&lt;author&gt;Garg, Rajiv K.&lt;/author&gt;&lt;author&gt;Qureshi, Karishma M.&lt;/author&gt;&lt;author&gt;Mewada, Bhavesh G.&lt;/author&gt;&lt;author&gt;Qureshi, Mohamed R.&lt;/author&gt;&lt;author&gt;Mansour, Mohamed&lt;/author&gt;&lt;/authors&gt;&lt;/contributors&gt;&lt;titles&gt;&lt;title&gt;Achieving Net-Zero in the Manufacturing Supply Chain through Carbon Capture and LCA: A Comprehensive Framework with BWM-Fuzzy DEMATEL&lt;/title&gt;&lt;secondary-title&gt;Sustainability&lt;/secondary-title&gt;&lt;/titles&gt;&lt;periodical&gt;&lt;full-title&gt;Sustainability&lt;/full-title&gt;&lt;/periodical&gt;&lt;pages&gt;6972&lt;/pages&gt;&lt;volume&gt;16&lt;/volume&gt;&lt;number&gt;16&lt;/number&gt;&lt;keywords&gt;&lt;keyword&gt;net zero supply chain&lt;/keyword&gt;&lt;keyword&gt;manufacturing&lt;/keyword&gt;&lt;keyword&gt;carbon capture&lt;/keyword&gt;&lt;keyword&gt;life cycle assessment&lt;/keyword&gt;&lt;keyword&gt;enablers&lt;/keyword&gt;&lt;keyword&gt;BWM&lt;/keyword&gt;&lt;keyword&gt;F-DEMATEL&lt;/keyword&gt;&lt;/keywords&gt;&lt;dates&gt;&lt;year&gt;2024&lt;/year&gt;&lt;/dates&gt;&lt;isbn&gt;2071-1050&lt;/isbn&gt;&lt;urls&gt;&lt;/urls&gt;&lt;electronic-resource-num&gt;10.3390/su16166972&lt;/electronic-resource-num&gt;&lt;/record&gt;&lt;/Cite&gt;&lt;/EndNote&gt;</w:instrText>
      </w:r>
      <w:r w:rsidRPr="006B6AA1">
        <w:rPr>
          <w:rFonts w:ascii="Times New Roman" w:hAnsi="Times New Roman" w:cs="Times New Roman"/>
          <w:sz w:val="24"/>
          <w:szCs w:val="24"/>
        </w:rPr>
        <w:fldChar w:fldCharType="separate"/>
      </w:r>
      <w:r w:rsidRPr="006B6AA1">
        <w:rPr>
          <w:rFonts w:ascii="Times New Roman" w:hAnsi="Times New Roman" w:cs="Times New Roman"/>
          <w:noProof/>
          <w:sz w:val="24"/>
          <w:szCs w:val="24"/>
        </w:rPr>
        <w:t>(Yadav et al., 2024)</w:t>
      </w:r>
      <w:r w:rsidRPr="006B6AA1">
        <w:rPr>
          <w:rFonts w:ascii="Times New Roman" w:hAnsi="Times New Roman" w:cs="Times New Roman"/>
          <w:sz w:val="24"/>
          <w:szCs w:val="24"/>
        </w:rPr>
        <w:fldChar w:fldCharType="end"/>
      </w:r>
      <w:r w:rsidRPr="006B6AA1">
        <w:rPr>
          <w:rFonts w:ascii="Times New Roman" w:hAnsi="Times New Roman" w:cs="Times New Roman"/>
          <w:sz w:val="24"/>
          <w:szCs w:val="24"/>
        </w:rPr>
        <w:t>. For instance, if technological risks such as TR1 (</w:t>
      </w:r>
      <w:proofErr w:type="spellStart"/>
      <w:r w:rsidRPr="006B6AA1">
        <w:rPr>
          <w:rFonts w:ascii="Times New Roman" w:hAnsi="Times New Roman" w:cs="Times New Roman"/>
          <w:sz w:val="24"/>
          <w:szCs w:val="24"/>
        </w:rPr>
        <w:t>SoH</w:t>
      </w:r>
      <w:proofErr w:type="spellEnd"/>
      <w:r w:rsidRPr="006B6AA1">
        <w:rPr>
          <w:rFonts w:ascii="Times New Roman" w:hAnsi="Times New Roman" w:cs="Times New Roman"/>
          <w:sz w:val="24"/>
          <w:szCs w:val="24"/>
        </w:rPr>
        <w:t xml:space="preserve"> estimation uncertainty) exhibit substantial variation across expert panels, due to differing technical, economic, and regulatory perspectives, compared to environmental outcome risks such as EN2 (delayed recycling emissions), TR1 would obtain a lower entropy value and consequently a higher analytical weight. This outcome implies that risks generating differentiated expert concern carry greater informational significance within the decision framework, particularly in emerging circular supply chains where technological uncertainty, institutional fragmentation, and governance gaps interact </w:t>
      </w:r>
      <w:r w:rsidRPr="006B6AA1">
        <w:rPr>
          <w:rFonts w:ascii="Times New Roman" w:hAnsi="Times New Roman" w:cs="Times New Roman"/>
          <w:sz w:val="24"/>
          <w:szCs w:val="24"/>
        </w:rPr>
        <w:fldChar w:fldCharType="begin"/>
      </w:r>
      <w:r w:rsidRPr="006B6AA1">
        <w:rPr>
          <w:rFonts w:ascii="Times New Roman" w:hAnsi="Times New Roman" w:cs="Times New Roman"/>
          <w:sz w:val="24"/>
          <w:szCs w:val="24"/>
        </w:rPr>
        <w:instrText xml:space="preserve"> ADDIN EN.CITE &lt;EndNote&gt;&lt;Cite&gt;&lt;Author&gt;Akram&lt;/Author&gt;&lt;Year&gt;2024&lt;/Year&gt;&lt;RecNum&gt;12&lt;/RecNum&gt;&lt;DisplayText&gt;(Akram &amp;amp; Abdul-Kader, 2024)&lt;/DisplayText&gt;&lt;record&gt;&lt;rec-number&gt;12&lt;/rec-number&gt;&lt;foreign-keys&gt;&lt;key app="EN" db-id="2e950ez96eprpyeafx65vzz4a29z2ew5dxa0" timestamp="1770989490"&gt;12&lt;/key&gt;&lt;/foreign-keys&gt;&lt;ref-type name="Electronic Article"&gt;43&lt;/ref-type&gt;&lt;contributors&gt;&lt;authors&gt;&lt;author&gt;Akram, Muhammad N.&lt;/author&gt;&lt;author&gt;Abdul-Kader, Walid&lt;/author&gt;&lt;/authors&gt;&lt;/contributors&gt;&lt;titles&gt;&lt;title&gt;Repurposing Second-Life EV Batteries to Advance Sustainable Development: A Comprehensive Review&lt;/title&gt;&lt;secondary-title&gt;Batteries&lt;/secondary-title&gt;&lt;/titles&gt;&lt;periodical&gt;&lt;full-title&gt;Batteries&lt;/full-title&gt;&lt;/periodical&gt;&lt;pages&gt;452&lt;/pages&gt;&lt;volume&gt;10&lt;/volume&gt;&lt;number&gt;12&lt;/number&gt;&lt;keywords&gt;&lt;keyword&gt;sustainable development goals&lt;/keyword&gt;&lt;keyword&gt;repurposing&lt;/keyword&gt;&lt;keyword&gt;second-life battery&lt;/keyword&gt;&lt;keyword&gt;stationary applications&lt;/keyword&gt;&lt;keyword&gt;environmental benefits&lt;/keyword&gt;&lt;keyword&gt;battery aging mechanism&lt;/keyword&gt;&lt;/keywords&gt;&lt;dates&gt;&lt;year&gt;2024&lt;/year&gt;&lt;/dates&gt;&lt;isbn&gt;2313-0105&lt;/isbn&gt;&lt;urls&gt;&lt;/urls&gt;&lt;electronic-resource-num&gt;10.3390/batteries10120452&lt;/electronic-resource-num&gt;&lt;/record&gt;&lt;/Cite&gt;&lt;/EndNote&gt;</w:instrText>
      </w:r>
      <w:r w:rsidRPr="006B6AA1">
        <w:rPr>
          <w:rFonts w:ascii="Times New Roman" w:hAnsi="Times New Roman" w:cs="Times New Roman"/>
          <w:sz w:val="24"/>
          <w:szCs w:val="24"/>
        </w:rPr>
        <w:fldChar w:fldCharType="separate"/>
      </w:r>
      <w:r w:rsidRPr="006B6AA1">
        <w:rPr>
          <w:rFonts w:ascii="Times New Roman" w:hAnsi="Times New Roman" w:cs="Times New Roman"/>
          <w:noProof/>
          <w:sz w:val="24"/>
          <w:szCs w:val="24"/>
        </w:rPr>
        <w:t>(Akram &amp; Abdul-Kader, 2024)</w:t>
      </w:r>
      <w:r w:rsidRPr="006B6AA1">
        <w:rPr>
          <w:rFonts w:ascii="Times New Roman" w:hAnsi="Times New Roman" w:cs="Times New Roman"/>
          <w:sz w:val="24"/>
          <w:szCs w:val="24"/>
        </w:rPr>
        <w:fldChar w:fldCharType="end"/>
      </w:r>
      <w:r w:rsidRPr="006B6AA1">
        <w:rPr>
          <w:rFonts w:ascii="Times New Roman" w:hAnsi="Times New Roman" w:cs="Times New Roman"/>
          <w:sz w:val="24"/>
          <w:szCs w:val="24"/>
        </w:rPr>
        <w:t>.</w:t>
      </w:r>
    </w:p>
    <w:p w14:paraId="5FB4A0E1" w14:textId="77777777" w:rsidR="006B6AA1" w:rsidRDefault="006B6AA1" w:rsidP="006B6AA1">
      <w:pPr>
        <w:spacing w:after="0" w:line="240" w:lineRule="auto"/>
        <w:jc w:val="both"/>
        <w:rPr>
          <w:rFonts w:ascii="Times New Roman" w:hAnsi="Times New Roman" w:cs="Times New Roman"/>
          <w:i/>
          <w:iCs/>
          <w:sz w:val="24"/>
          <w:szCs w:val="24"/>
          <w:lang w:val="en-ID"/>
        </w:rPr>
      </w:pPr>
    </w:p>
    <w:p w14:paraId="3CEF439E" w14:textId="2818EFCF" w:rsidR="00E900B3" w:rsidRPr="006B6AA1" w:rsidRDefault="00E900B3" w:rsidP="006B6AA1">
      <w:pPr>
        <w:spacing w:after="0" w:line="240" w:lineRule="auto"/>
        <w:jc w:val="both"/>
        <w:rPr>
          <w:rFonts w:ascii="Times New Roman" w:hAnsi="Times New Roman" w:cs="Times New Roman"/>
          <w:i/>
          <w:iCs/>
          <w:sz w:val="24"/>
          <w:szCs w:val="24"/>
          <w:lang w:val="en-ID"/>
        </w:rPr>
      </w:pPr>
      <w:r w:rsidRPr="006B6AA1">
        <w:rPr>
          <w:rFonts w:ascii="Times New Roman" w:hAnsi="Times New Roman" w:cs="Times New Roman"/>
          <w:i/>
          <w:iCs/>
          <w:sz w:val="24"/>
          <w:szCs w:val="24"/>
          <w:lang w:val="en-ID"/>
        </w:rPr>
        <w:t>Step 3: Degree of Diversification</w:t>
      </w:r>
    </w:p>
    <w:p w14:paraId="4201DF36" w14:textId="77777777" w:rsidR="00E900B3" w:rsidRPr="006B6AA1" w:rsidRDefault="00E900B3" w:rsidP="006B6AA1">
      <w:pPr>
        <w:spacing w:after="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The diversification degree (information utility) of each factor is computed as:</w:t>
      </w:r>
    </w:p>
    <w:p w14:paraId="5CDCFA26" w14:textId="77777777" w:rsidR="00E900B3" w:rsidRPr="006B6AA1" w:rsidRDefault="00000000" w:rsidP="006B6AA1">
      <w:pPr>
        <w:spacing w:after="0"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oMath>
      </m:oMathPara>
    </w:p>
    <w:p w14:paraId="24757459" w14:textId="77777777" w:rsidR="00E900B3" w:rsidRPr="006B6AA1" w:rsidRDefault="00E900B3" w:rsidP="006B6AA1">
      <w:pPr>
        <w:spacing w:line="240" w:lineRule="auto"/>
        <w:jc w:val="both"/>
        <w:rPr>
          <w:rFonts w:ascii="Times New Roman" w:hAnsi="Times New Roman" w:cs="Times New Roman"/>
          <w:sz w:val="24"/>
          <w:szCs w:val="24"/>
        </w:rPr>
      </w:pPr>
      <w:r w:rsidRPr="006B6AA1">
        <w:rPr>
          <w:rFonts w:ascii="Times New Roman" w:hAnsi="Times New Roman" w:cs="Times New Roman"/>
          <w:sz w:val="24"/>
          <w:szCs w:val="24"/>
        </w:rPr>
        <w:t>This measure captures the intrinsic contrast intensity of each sustainability–circularity risk factor.</w:t>
      </w:r>
    </w:p>
    <w:p w14:paraId="48FD4D6D" w14:textId="77777777" w:rsidR="00E900B3" w:rsidRPr="006B6AA1" w:rsidRDefault="00E900B3" w:rsidP="006B6AA1">
      <w:pPr>
        <w:spacing w:after="0" w:line="240" w:lineRule="auto"/>
        <w:jc w:val="both"/>
        <w:rPr>
          <w:rFonts w:ascii="Times New Roman" w:hAnsi="Times New Roman" w:cs="Times New Roman"/>
          <w:i/>
          <w:iCs/>
          <w:sz w:val="24"/>
          <w:szCs w:val="24"/>
          <w:lang w:val="en-ID"/>
        </w:rPr>
      </w:pPr>
      <w:r w:rsidRPr="006B6AA1">
        <w:rPr>
          <w:rFonts w:ascii="Times New Roman" w:hAnsi="Times New Roman" w:cs="Times New Roman"/>
          <w:i/>
          <w:iCs/>
          <w:sz w:val="24"/>
          <w:szCs w:val="24"/>
          <w:lang w:val="en-ID"/>
        </w:rPr>
        <w:t>Step 4: Entropy-Based Weight Determination</w:t>
      </w:r>
    </w:p>
    <w:p w14:paraId="3890394C" w14:textId="77777777" w:rsidR="00E900B3" w:rsidRPr="006B6AA1" w:rsidRDefault="00E900B3" w:rsidP="006B6AA1">
      <w:pPr>
        <w:spacing w:after="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The normalized objective weight for each risk factor is determined as:</w:t>
      </w:r>
    </w:p>
    <w:p w14:paraId="0FF2E544" w14:textId="77777777" w:rsidR="00E900B3" w:rsidRPr="00E900B3" w:rsidRDefault="00000000" w:rsidP="006B6AA1">
      <w:pPr>
        <w:pStyle w:val="ListParagraph"/>
        <w:spacing w:after="0"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15</m:t>
                  </m:r>
                </m:sup>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e>
              </m:nary>
            </m:den>
          </m:f>
        </m:oMath>
      </m:oMathPara>
    </w:p>
    <w:p w14:paraId="74520E35" w14:textId="77777777" w:rsidR="00E900B3" w:rsidRPr="006B6AA1" w:rsidRDefault="00E900B3" w:rsidP="006B6AA1">
      <w:pPr>
        <w:spacing w:after="12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 xml:space="preserve">where </w:t>
      </w:r>
      <w:proofErr w:type="spellStart"/>
      <w:r w:rsidRPr="006B6AA1">
        <w:rPr>
          <w:rFonts w:ascii="Times New Roman" w:hAnsi="Times New Roman" w:cs="Times New Roman"/>
          <w:sz w:val="24"/>
          <w:szCs w:val="24"/>
          <w:lang w:val="en-ID"/>
        </w:rPr>
        <w:t>w</w:t>
      </w:r>
      <w:r w:rsidRPr="006B6AA1">
        <w:rPr>
          <w:rFonts w:ascii="Times New Roman" w:hAnsi="Times New Roman" w:cs="Times New Roman"/>
          <w:sz w:val="24"/>
          <w:szCs w:val="24"/>
          <w:vertAlign w:val="subscript"/>
          <w:lang w:val="en-ID"/>
        </w:rPr>
        <w:t>j</w:t>
      </w:r>
      <w:proofErr w:type="spellEnd"/>
      <w:r w:rsidRPr="006B6AA1">
        <w:rPr>
          <w:rFonts w:ascii="Times New Roman" w:hAnsi="Times New Roman" w:cs="Times New Roman"/>
          <w:sz w:val="24"/>
          <w:szCs w:val="24"/>
          <w:lang w:val="en-ID"/>
        </w:rPr>
        <w:t>​ represents the entropy weight assigned to risk factor j.</w:t>
      </w:r>
    </w:p>
    <w:p w14:paraId="0AF8036A" w14:textId="77777777" w:rsidR="00E900B3" w:rsidRDefault="00E900B3" w:rsidP="006B6AA1">
      <w:pPr>
        <w:spacing w:after="120" w:line="240" w:lineRule="auto"/>
        <w:jc w:val="both"/>
        <w:rPr>
          <w:rFonts w:ascii="Times New Roman" w:hAnsi="Times New Roman" w:cs="Times New Roman"/>
          <w:sz w:val="24"/>
          <w:szCs w:val="24"/>
          <w:lang w:val="en-ID"/>
        </w:rPr>
      </w:pPr>
      <w:r w:rsidRPr="006B6AA1">
        <w:rPr>
          <w:rFonts w:ascii="Times New Roman" w:hAnsi="Times New Roman" w:cs="Times New Roman"/>
          <w:sz w:val="24"/>
          <w:szCs w:val="24"/>
          <w:lang w:val="en-ID"/>
        </w:rPr>
        <w:t xml:space="preserve">These entropy-derived weights reflect the relative informational importance of technological (TR), circular process (CP), governance (GR), economic (EC), and environmental (EN) risks within the triple-bottom-line structure. The weights are subsequently integrated into the DEMATEL stage to </w:t>
      </w:r>
      <w:proofErr w:type="spellStart"/>
      <w:r w:rsidRPr="006B6AA1">
        <w:rPr>
          <w:rFonts w:ascii="Times New Roman" w:hAnsi="Times New Roman" w:cs="Times New Roman"/>
          <w:sz w:val="24"/>
          <w:szCs w:val="24"/>
          <w:lang w:val="en-ID"/>
        </w:rPr>
        <w:t>analyze</w:t>
      </w:r>
      <w:proofErr w:type="spellEnd"/>
      <w:r w:rsidRPr="006B6AA1">
        <w:rPr>
          <w:rFonts w:ascii="Times New Roman" w:hAnsi="Times New Roman" w:cs="Times New Roman"/>
          <w:sz w:val="24"/>
          <w:szCs w:val="24"/>
          <w:lang w:val="en-ID"/>
        </w:rPr>
        <w:t xml:space="preserve"> causal interdependencies and into the FMEA stage to refine Risk Priority Numbers (RPNs), ensuring that sustainability-oriented risk prioritization is not solely perception-driven but empirically grounded in evaluation dispersion </w:t>
      </w:r>
      <w:r w:rsidRPr="006B6AA1">
        <w:rPr>
          <w:rFonts w:ascii="Times New Roman" w:hAnsi="Times New Roman" w:cs="Times New Roman"/>
          <w:sz w:val="24"/>
          <w:szCs w:val="24"/>
          <w:lang w:val="en-ID"/>
        </w:rPr>
        <w:fldChar w:fldCharType="begin"/>
      </w:r>
      <w:r w:rsidRPr="006B6AA1">
        <w:rPr>
          <w:rFonts w:ascii="Times New Roman" w:hAnsi="Times New Roman" w:cs="Times New Roman"/>
          <w:sz w:val="24"/>
          <w:szCs w:val="24"/>
          <w:lang w:val="en-ID"/>
        </w:rPr>
        <w:instrText xml:space="preserve"> ADDIN EN.CITE &lt;EndNote&gt;&lt;Cite&gt;&lt;Author&gt;Shen&lt;/Author&gt;&lt;Year&gt;2018&lt;/Year&gt;&lt;RecNum&gt;23&lt;/RecNum&gt;&lt;DisplayText&gt;(Shen &amp;amp; Tzeng, 2018)&lt;/DisplayText&gt;&lt;record&gt;&lt;rec-number&gt;23&lt;/rec-number&gt;&lt;foreign-keys&gt;&lt;key app="EN" db-id="2e950ez96eprpyeafx65vzz4a29z2ew5dxa0" timestamp="1771245944"&gt;23&lt;/key&gt;&lt;/foreign-keys&gt;&lt;ref-type name="Electronic Article"&gt;43&lt;/ref-type&gt;&lt;contributors&gt;&lt;authors&gt;&lt;author&gt;Shen, Kao-Yi&lt;/author&gt;&lt;author&gt;Tzeng, Gwo-Hshiung&lt;/author&gt;&lt;/authors&gt;&lt;/contributors&gt;&lt;titles&gt;&lt;title&gt;Advances in Multiple Criteria Decision Making for Sustainability: Modeling and Applications&lt;/title&gt;&lt;secondary-title&gt;Sustainability&lt;/secondary-title&gt;&lt;/titles&gt;&lt;periodical&gt;&lt;full-title&gt;Sustainability&lt;/full-title&gt;&lt;/periodical&gt;&lt;pages&gt;1600&lt;/pages&gt;&lt;volume&gt;10&lt;/volume&gt;&lt;number&gt;5&lt;/number&gt;&lt;keywords&gt;&lt;keyword&gt;sustainable development&lt;/keyword&gt;&lt;keyword&gt;multiple criteria decision making (MCDM)&lt;/keyword&gt;&lt;keyword&gt;problem-solving&lt;/keyword&gt;&lt;keyword&gt;optimization&lt;/keyword&gt;&lt;keyword&gt;decision aid&lt;/keyword&gt;&lt;keyword&gt;computational intelligence&lt;/keyword&gt;&lt;keyword&gt;machine learning (ML)&lt;/keyword&gt;&lt;keyword&gt;artificial intelligence (AI)&lt;/keyword&gt;&lt;keyword&gt;soft computing&lt;/keyword&gt;&lt;keyword&gt;fuzzy sets&lt;/keyword&gt;&lt;keyword&gt;rough set theory (RST)&lt;/keyword&gt;&lt;/keywords&gt;&lt;dates&gt;&lt;year&gt;2018&lt;/year&gt;&lt;/dates&gt;&lt;isbn&gt;2071-1050&lt;/isbn&gt;&lt;urls&gt;&lt;/urls&gt;&lt;electronic-resource-num&gt;10.3390/su10051600&lt;/electronic-resource-num&gt;&lt;/record&gt;&lt;/Cite&gt;&lt;/EndNote&gt;</w:instrText>
      </w:r>
      <w:r w:rsidRPr="006B6AA1">
        <w:rPr>
          <w:rFonts w:ascii="Times New Roman" w:hAnsi="Times New Roman" w:cs="Times New Roman"/>
          <w:sz w:val="24"/>
          <w:szCs w:val="24"/>
          <w:lang w:val="en-ID"/>
        </w:rPr>
        <w:fldChar w:fldCharType="separate"/>
      </w:r>
      <w:r w:rsidRPr="006B6AA1">
        <w:rPr>
          <w:rFonts w:ascii="Times New Roman" w:hAnsi="Times New Roman" w:cs="Times New Roman"/>
          <w:noProof/>
          <w:sz w:val="24"/>
          <w:szCs w:val="24"/>
          <w:lang w:val="en-ID"/>
        </w:rPr>
        <w:t>(Shen &amp; Tzeng, 2018)</w:t>
      </w:r>
      <w:r w:rsidRPr="006B6AA1">
        <w:rPr>
          <w:rFonts w:ascii="Times New Roman" w:hAnsi="Times New Roman" w:cs="Times New Roman"/>
          <w:sz w:val="24"/>
          <w:szCs w:val="24"/>
          <w:lang w:val="en-ID"/>
        </w:rPr>
        <w:fldChar w:fldCharType="end"/>
      </w:r>
      <w:r w:rsidRPr="006B6AA1">
        <w:rPr>
          <w:rFonts w:ascii="Times New Roman" w:hAnsi="Times New Roman" w:cs="Times New Roman"/>
          <w:sz w:val="24"/>
          <w:szCs w:val="24"/>
          <w:lang w:val="en-ID"/>
        </w:rPr>
        <w:t>.</w:t>
      </w:r>
    </w:p>
    <w:p w14:paraId="6D5BBCC0" w14:textId="72044278" w:rsidR="00FF6D47" w:rsidRPr="002E0346" w:rsidRDefault="00FF6D47"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i/>
          <w:sz w:val="24"/>
          <w:szCs w:val="24"/>
        </w:rPr>
      </w:pPr>
      <w:r w:rsidRPr="002E0346">
        <w:rPr>
          <w:rFonts w:ascii="Times New Roman" w:hAnsi="Times New Roman" w:cs="Times New Roman"/>
          <w:b/>
          <w:i/>
          <w:sz w:val="24"/>
          <w:szCs w:val="24"/>
        </w:rPr>
        <w:t>DEMATEL Construction</w:t>
      </w:r>
    </w:p>
    <w:p w14:paraId="35EBF0F9" w14:textId="4B1EBC62" w:rsidR="00FF6D47" w:rsidRDefault="00FF6D47" w:rsidP="00FF6D47">
      <w:pPr>
        <w:spacing w:after="120" w:line="240" w:lineRule="auto"/>
        <w:jc w:val="both"/>
        <w:rPr>
          <w:rFonts w:ascii="Times New Roman" w:hAnsi="Times New Roman" w:cs="Times New Roman"/>
          <w:b/>
          <w:i/>
          <w:sz w:val="24"/>
          <w:szCs w:val="24"/>
        </w:rPr>
      </w:pPr>
      <w:r w:rsidRPr="00FF6D47">
        <w:rPr>
          <w:rFonts w:ascii="Times New Roman" w:hAnsi="Times New Roman" w:cs="Times New Roman"/>
          <w:b/>
          <w:i/>
          <w:sz w:val="24"/>
          <w:szCs w:val="24"/>
        </w:rPr>
        <w:t>Initial Direct-Relation Matrix Construction and Normalization</w:t>
      </w:r>
    </w:p>
    <w:p w14:paraId="742E9220" w14:textId="62A62AEA" w:rsidR="00FF6D47" w:rsidRPr="00FF6D47" w:rsidRDefault="00FF6D47" w:rsidP="00FF6D47">
      <w:pPr>
        <w:spacing w:after="120" w:line="240" w:lineRule="auto"/>
        <w:jc w:val="both"/>
        <w:rPr>
          <w:rFonts w:ascii="Times New Roman" w:hAnsi="Times New Roman" w:cs="Times New Roman"/>
          <w:b/>
          <w:i/>
          <w:sz w:val="24"/>
          <w:szCs w:val="24"/>
        </w:rPr>
      </w:pPr>
      <w:r w:rsidRPr="00FF6D47">
        <w:rPr>
          <w:rFonts w:ascii="Times New Roman" w:hAnsi="Times New Roman" w:cs="Times New Roman"/>
          <w:sz w:val="24"/>
          <w:szCs w:val="24"/>
        </w:rPr>
        <w:t xml:space="preserve">Expert judgments collected </w:t>
      </w:r>
      <w:r w:rsidR="00DA6D9C">
        <w:rPr>
          <w:rFonts w:ascii="Times New Roman" w:hAnsi="Times New Roman" w:cs="Times New Roman"/>
          <w:sz w:val="24"/>
          <w:szCs w:val="24"/>
        </w:rPr>
        <w:t>earlier</w:t>
      </w:r>
      <w:r w:rsidRPr="00FF6D47">
        <w:rPr>
          <w:rFonts w:ascii="Times New Roman" w:hAnsi="Times New Roman" w:cs="Times New Roman"/>
          <w:sz w:val="24"/>
          <w:szCs w:val="24"/>
        </w:rPr>
        <w:t xml:space="preserve"> were used to evaluate the pairwise influence relationships among the identified risk factors (TR, CP, GR, EC, and EN categories). Individual assessments from </w:t>
      </w:r>
      <w:r w:rsidRPr="00FF6D47">
        <w:rPr>
          <w:rFonts w:ascii="Times New Roman" w:hAnsi="Times New Roman" w:cs="Times New Roman"/>
          <w:bCs/>
          <w:sz w:val="24"/>
          <w:szCs w:val="24"/>
        </w:rPr>
        <w:t>all 10 expert panel members</w:t>
      </w:r>
      <w:r w:rsidRPr="00FF6D47">
        <w:rPr>
          <w:rFonts w:ascii="Times New Roman" w:hAnsi="Times New Roman" w:cs="Times New Roman"/>
          <w:sz w:val="24"/>
          <w:szCs w:val="24"/>
        </w:rPr>
        <w:t xml:space="preserve"> were aggregated to form the </w:t>
      </w:r>
      <w:r w:rsidRPr="00FF6D47">
        <w:rPr>
          <w:rFonts w:ascii="Times New Roman" w:hAnsi="Times New Roman" w:cs="Times New Roman"/>
          <w:bCs/>
          <w:sz w:val="24"/>
          <w:szCs w:val="24"/>
        </w:rPr>
        <w:t>initial direct-relation matrix</w:t>
      </w:r>
      <w:r w:rsidRPr="00FF6D47">
        <w:rPr>
          <w:rFonts w:ascii="Times New Roman" w:hAnsi="Times New Roman" w:cs="Times New Roman"/>
          <w:sz w:val="24"/>
          <w:szCs w:val="24"/>
        </w:rPr>
        <w:t xml:space="preserve">, where each element represents the average perceived influence of one risk on another. Self-influences were excluded by setting diagonal elements to zero. To ensure comparability and convergence of the DEMATEL procedure, the aggregated matrix was normalized, resulting in the </w:t>
      </w:r>
      <w:r w:rsidRPr="00FF6D47">
        <w:rPr>
          <w:rFonts w:ascii="Times New Roman" w:hAnsi="Times New Roman" w:cs="Times New Roman"/>
          <w:bCs/>
          <w:sz w:val="24"/>
          <w:szCs w:val="24"/>
        </w:rPr>
        <w:t xml:space="preserve">normalized </w:t>
      </w:r>
      <w:r w:rsidRPr="00FF6D47">
        <w:rPr>
          <w:rFonts w:ascii="Times New Roman" w:hAnsi="Times New Roman" w:cs="Times New Roman"/>
          <w:bCs/>
          <w:sz w:val="24"/>
          <w:szCs w:val="24"/>
        </w:rPr>
        <w:lastRenderedPageBreak/>
        <w:t>direct-relation matrix (D)</w:t>
      </w:r>
      <w:r w:rsidRPr="00FF6D47">
        <w:rPr>
          <w:rFonts w:ascii="Times New Roman" w:hAnsi="Times New Roman" w:cs="Times New Roman"/>
          <w:sz w:val="24"/>
          <w:szCs w:val="24"/>
        </w:rPr>
        <w:t>. This matrix captures the relative strength of direct influences among risks and serves as the foundation for identifying both direct and indirect interdependencies.</w:t>
      </w:r>
    </w:p>
    <w:p w14:paraId="39A8C14C" w14:textId="0FEE702D" w:rsidR="00FF6D47" w:rsidRPr="00860957" w:rsidRDefault="00FF6D47" w:rsidP="00860957">
      <w:pPr>
        <w:spacing w:after="120" w:line="240" w:lineRule="auto"/>
        <w:jc w:val="center"/>
        <w:rPr>
          <w:rFonts w:ascii="Times New Roman" w:hAnsi="Times New Roman" w:cs="Times New Roman"/>
          <w:sz w:val="24"/>
          <w:szCs w:val="24"/>
        </w:rPr>
      </w:pPr>
      <w:r w:rsidRPr="00860957">
        <w:rPr>
          <w:rFonts w:ascii="Times New Roman" w:hAnsi="Times New Roman" w:cs="Times New Roman"/>
          <w:sz w:val="24"/>
          <w:szCs w:val="24"/>
        </w:rPr>
        <w:t xml:space="preserve">Table </w:t>
      </w:r>
      <w:r w:rsidR="00860957">
        <w:rPr>
          <w:rFonts w:ascii="Times New Roman" w:hAnsi="Times New Roman" w:cs="Times New Roman"/>
          <w:sz w:val="24"/>
          <w:szCs w:val="24"/>
        </w:rPr>
        <w:t>A.2</w:t>
      </w:r>
      <w:r w:rsidRPr="00860957">
        <w:rPr>
          <w:rFonts w:ascii="Times New Roman" w:hAnsi="Times New Roman" w:cs="Times New Roman"/>
          <w:sz w:val="24"/>
          <w:szCs w:val="24"/>
        </w:rPr>
        <w:t>. Normalized Direct-Relation Matrix (D)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94"/>
        <w:gridCol w:w="580"/>
        <w:gridCol w:w="581"/>
        <w:gridCol w:w="581"/>
        <w:gridCol w:w="581"/>
        <w:gridCol w:w="579"/>
        <w:gridCol w:w="579"/>
        <w:gridCol w:w="579"/>
        <w:gridCol w:w="594"/>
        <w:gridCol w:w="594"/>
        <w:gridCol w:w="594"/>
        <w:gridCol w:w="582"/>
        <w:gridCol w:w="582"/>
        <w:gridCol w:w="582"/>
        <w:gridCol w:w="584"/>
        <w:gridCol w:w="584"/>
      </w:tblGrid>
      <w:tr w:rsidR="00FF6D47" w:rsidRPr="00EA1B3B" w14:paraId="4E914BB2" w14:textId="77777777" w:rsidTr="00D56DCE">
        <w:tc>
          <w:tcPr>
            <w:tcW w:w="594" w:type="dxa"/>
          </w:tcPr>
          <w:p w14:paraId="1A0C5B33" w14:textId="77777777" w:rsidR="00FF6D47" w:rsidRPr="00EA1B3B" w:rsidRDefault="00FF6D47" w:rsidP="00D56DCE">
            <w:pPr>
              <w:jc w:val="center"/>
              <w:rPr>
                <w:rFonts w:ascii="Times New Roman" w:hAnsi="Times New Roman" w:cs="Times New Roman"/>
                <w:sz w:val="20"/>
                <w:szCs w:val="20"/>
              </w:rPr>
            </w:pPr>
          </w:p>
        </w:tc>
        <w:tc>
          <w:tcPr>
            <w:tcW w:w="580" w:type="dxa"/>
          </w:tcPr>
          <w:p w14:paraId="67137E2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TR1</w:t>
            </w:r>
          </w:p>
        </w:tc>
        <w:tc>
          <w:tcPr>
            <w:tcW w:w="581" w:type="dxa"/>
          </w:tcPr>
          <w:p w14:paraId="71DB9B1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TR2</w:t>
            </w:r>
          </w:p>
        </w:tc>
        <w:tc>
          <w:tcPr>
            <w:tcW w:w="581" w:type="dxa"/>
          </w:tcPr>
          <w:p w14:paraId="10D8F9E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TR3</w:t>
            </w:r>
          </w:p>
        </w:tc>
        <w:tc>
          <w:tcPr>
            <w:tcW w:w="581" w:type="dxa"/>
          </w:tcPr>
          <w:p w14:paraId="6EF6D54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TR4</w:t>
            </w:r>
          </w:p>
        </w:tc>
        <w:tc>
          <w:tcPr>
            <w:tcW w:w="579" w:type="dxa"/>
          </w:tcPr>
          <w:p w14:paraId="0E60C28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CP1</w:t>
            </w:r>
          </w:p>
        </w:tc>
        <w:tc>
          <w:tcPr>
            <w:tcW w:w="579" w:type="dxa"/>
          </w:tcPr>
          <w:p w14:paraId="3113CF0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CP2</w:t>
            </w:r>
          </w:p>
        </w:tc>
        <w:tc>
          <w:tcPr>
            <w:tcW w:w="579" w:type="dxa"/>
          </w:tcPr>
          <w:p w14:paraId="5FF9D71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CP3</w:t>
            </w:r>
          </w:p>
        </w:tc>
        <w:tc>
          <w:tcPr>
            <w:tcW w:w="594" w:type="dxa"/>
          </w:tcPr>
          <w:p w14:paraId="0EBCA8B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GR1</w:t>
            </w:r>
          </w:p>
        </w:tc>
        <w:tc>
          <w:tcPr>
            <w:tcW w:w="594" w:type="dxa"/>
          </w:tcPr>
          <w:p w14:paraId="76A1C39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GR2</w:t>
            </w:r>
          </w:p>
        </w:tc>
        <w:tc>
          <w:tcPr>
            <w:tcW w:w="594" w:type="dxa"/>
          </w:tcPr>
          <w:p w14:paraId="36D907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GR3</w:t>
            </w:r>
          </w:p>
        </w:tc>
        <w:tc>
          <w:tcPr>
            <w:tcW w:w="582" w:type="dxa"/>
          </w:tcPr>
          <w:p w14:paraId="3EF0EC3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EC1</w:t>
            </w:r>
          </w:p>
        </w:tc>
        <w:tc>
          <w:tcPr>
            <w:tcW w:w="582" w:type="dxa"/>
          </w:tcPr>
          <w:p w14:paraId="3BA3006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EC2</w:t>
            </w:r>
          </w:p>
        </w:tc>
        <w:tc>
          <w:tcPr>
            <w:tcW w:w="582" w:type="dxa"/>
          </w:tcPr>
          <w:p w14:paraId="7753440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EC3</w:t>
            </w:r>
          </w:p>
        </w:tc>
        <w:tc>
          <w:tcPr>
            <w:tcW w:w="584" w:type="dxa"/>
          </w:tcPr>
          <w:p w14:paraId="506503B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EN1</w:t>
            </w:r>
          </w:p>
        </w:tc>
        <w:tc>
          <w:tcPr>
            <w:tcW w:w="584" w:type="dxa"/>
          </w:tcPr>
          <w:p w14:paraId="4E4BD75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EN2</w:t>
            </w:r>
          </w:p>
        </w:tc>
      </w:tr>
      <w:tr w:rsidR="00FF6D47" w:rsidRPr="00EA1B3B" w14:paraId="0FC3DAEA" w14:textId="77777777" w:rsidTr="00D56DCE">
        <w:tc>
          <w:tcPr>
            <w:tcW w:w="594" w:type="dxa"/>
          </w:tcPr>
          <w:p w14:paraId="3711C7C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TR1</w:t>
            </w:r>
          </w:p>
        </w:tc>
        <w:tc>
          <w:tcPr>
            <w:tcW w:w="580" w:type="dxa"/>
          </w:tcPr>
          <w:p w14:paraId="4028F3A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1" w:type="dxa"/>
          </w:tcPr>
          <w:p w14:paraId="7E1844E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1" w:type="dxa"/>
          </w:tcPr>
          <w:p w14:paraId="0417453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0BC6B11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6084609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79" w:type="dxa"/>
          </w:tcPr>
          <w:p w14:paraId="517BA67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79" w:type="dxa"/>
          </w:tcPr>
          <w:p w14:paraId="0FAE73A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94" w:type="dxa"/>
          </w:tcPr>
          <w:p w14:paraId="3298C07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94" w:type="dxa"/>
          </w:tcPr>
          <w:p w14:paraId="291D52E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c>
          <w:tcPr>
            <w:tcW w:w="594" w:type="dxa"/>
          </w:tcPr>
          <w:p w14:paraId="65032DE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0.21</w:t>
            </w:r>
          </w:p>
        </w:tc>
        <w:tc>
          <w:tcPr>
            <w:tcW w:w="582" w:type="dxa"/>
          </w:tcPr>
          <w:p w14:paraId="4605E98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2" w:type="dxa"/>
          </w:tcPr>
          <w:p w14:paraId="6BDC2F9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2" w:type="dxa"/>
          </w:tcPr>
          <w:p w14:paraId="7919938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4" w:type="dxa"/>
          </w:tcPr>
          <w:p w14:paraId="653CC72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0.19</w:t>
            </w:r>
          </w:p>
        </w:tc>
        <w:tc>
          <w:tcPr>
            <w:tcW w:w="584" w:type="dxa"/>
          </w:tcPr>
          <w:p w14:paraId="67B116C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0.18</w:t>
            </w:r>
          </w:p>
        </w:tc>
      </w:tr>
      <w:tr w:rsidR="00FF6D47" w:rsidRPr="00EA1B3B" w14:paraId="2179E96D" w14:textId="77777777" w:rsidTr="00D56DCE">
        <w:tc>
          <w:tcPr>
            <w:tcW w:w="594" w:type="dxa"/>
          </w:tcPr>
          <w:p w14:paraId="67B1F7D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TR2</w:t>
            </w:r>
          </w:p>
        </w:tc>
        <w:tc>
          <w:tcPr>
            <w:tcW w:w="580" w:type="dxa"/>
          </w:tcPr>
          <w:p w14:paraId="317D826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1" w:type="dxa"/>
          </w:tcPr>
          <w:p w14:paraId="3700124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1" w:type="dxa"/>
          </w:tcPr>
          <w:p w14:paraId="18C98FA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0799929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79" w:type="dxa"/>
          </w:tcPr>
          <w:p w14:paraId="2998EA1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79" w:type="dxa"/>
          </w:tcPr>
          <w:p w14:paraId="6A5A5D2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79" w:type="dxa"/>
          </w:tcPr>
          <w:p w14:paraId="27B3D23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94" w:type="dxa"/>
          </w:tcPr>
          <w:p w14:paraId="389390C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94" w:type="dxa"/>
          </w:tcPr>
          <w:p w14:paraId="1025AFC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94" w:type="dxa"/>
          </w:tcPr>
          <w:p w14:paraId="10D559C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82" w:type="dxa"/>
          </w:tcPr>
          <w:p w14:paraId="63E31EF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2" w:type="dxa"/>
          </w:tcPr>
          <w:p w14:paraId="1B2879A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2" w:type="dxa"/>
          </w:tcPr>
          <w:p w14:paraId="7ACF8F7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4" w:type="dxa"/>
          </w:tcPr>
          <w:p w14:paraId="07BF06D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0.21</w:t>
            </w:r>
          </w:p>
        </w:tc>
        <w:tc>
          <w:tcPr>
            <w:tcW w:w="584" w:type="dxa"/>
          </w:tcPr>
          <w:p w14:paraId="46756A4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0.20</w:t>
            </w:r>
          </w:p>
        </w:tc>
      </w:tr>
      <w:tr w:rsidR="00FF6D47" w:rsidRPr="00EA1B3B" w14:paraId="1C8A4A33" w14:textId="77777777" w:rsidTr="00D56DCE">
        <w:tc>
          <w:tcPr>
            <w:tcW w:w="594" w:type="dxa"/>
          </w:tcPr>
          <w:p w14:paraId="5CFCBBB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TR3</w:t>
            </w:r>
          </w:p>
        </w:tc>
        <w:tc>
          <w:tcPr>
            <w:tcW w:w="580" w:type="dxa"/>
          </w:tcPr>
          <w:p w14:paraId="66BA090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09F988E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45057EE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1" w:type="dxa"/>
          </w:tcPr>
          <w:p w14:paraId="7EE12E5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79" w:type="dxa"/>
          </w:tcPr>
          <w:p w14:paraId="1FBCA19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79" w:type="dxa"/>
          </w:tcPr>
          <w:p w14:paraId="228F143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79" w:type="dxa"/>
          </w:tcPr>
          <w:p w14:paraId="660741F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94" w:type="dxa"/>
          </w:tcPr>
          <w:p w14:paraId="3F7AA59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94" w:type="dxa"/>
          </w:tcPr>
          <w:p w14:paraId="5F2EFA7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94" w:type="dxa"/>
          </w:tcPr>
          <w:p w14:paraId="284C00C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2" w:type="dxa"/>
          </w:tcPr>
          <w:p w14:paraId="06C584D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2" w:type="dxa"/>
          </w:tcPr>
          <w:p w14:paraId="628603B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2" w:type="dxa"/>
          </w:tcPr>
          <w:p w14:paraId="4A48AA7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4" w:type="dxa"/>
          </w:tcPr>
          <w:p w14:paraId="60C0792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c>
          <w:tcPr>
            <w:tcW w:w="584" w:type="dxa"/>
          </w:tcPr>
          <w:p w14:paraId="52F5033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0.21</w:t>
            </w:r>
          </w:p>
        </w:tc>
      </w:tr>
      <w:tr w:rsidR="00FF6D47" w:rsidRPr="00EA1B3B" w14:paraId="134B346C" w14:textId="77777777" w:rsidTr="00D56DCE">
        <w:tc>
          <w:tcPr>
            <w:tcW w:w="594" w:type="dxa"/>
          </w:tcPr>
          <w:p w14:paraId="004D56D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TR4</w:t>
            </w:r>
          </w:p>
        </w:tc>
        <w:tc>
          <w:tcPr>
            <w:tcW w:w="580" w:type="dxa"/>
          </w:tcPr>
          <w:p w14:paraId="3209B83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81" w:type="dxa"/>
          </w:tcPr>
          <w:p w14:paraId="39EE149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1" w:type="dxa"/>
          </w:tcPr>
          <w:p w14:paraId="7D97D2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81" w:type="dxa"/>
          </w:tcPr>
          <w:p w14:paraId="4462DCB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79" w:type="dxa"/>
          </w:tcPr>
          <w:p w14:paraId="1FBB6DE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79" w:type="dxa"/>
          </w:tcPr>
          <w:p w14:paraId="7474A4B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79" w:type="dxa"/>
          </w:tcPr>
          <w:p w14:paraId="39E0D4B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014DDD5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94" w:type="dxa"/>
          </w:tcPr>
          <w:p w14:paraId="2330BFB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94" w:type="dxa"/>
          </w:tcPr>
          <w:p w14:paraId="2037FEB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2" w:type="dxa"/>
          </w:tcPr>
          <w:p w14:paraId="1F34788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82" w:type="dxa"/>
          </w:tcPr>
          <w:p w14:paraId="3B00CFC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292F3F9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84" w:type="dxa"/>
          </w:tcPr>
          <w:p w14:paraId="14A6B07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4" w:type="dxa"/>
          </w:tcPr>
          <w:p w14:paraId="59CC725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r>
      <w:tr w:rsidR="00FF6D47" w:rsidRPr="00EA1B3B" w14:paraId="307823BA" w14:textId="77777777" w:rsidTr="00D56DCE">
        <w:tc>
          <w:tcPr>
            <w:tcW w:w="594" w:type="dxa"/>
          </w:tcPr>
          <w:p w14:paraId="4726CB4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CP1</w:t>
            </w:r>
          </w:p>
        </w:tc>
        <w:tc>
          <w:tcPr>
            <w:tcW w:w="580" w:type="dxa"/>
          </w:tcPr>
          <w:p w14:paraId="36515DE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1" w:type="dxa"/>
          </w:tcPr>
          <w:p w14:paraId="6A8C2B1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1" w:type="dxa"/>
          </w:tcPr>
          <w:p w14:paraId="1E5E698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270314C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3C4184C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79" w:type="dxa"/>
          </w:tcPr>
          <w:p w14:paraId="3890197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79" w:type="dxa"/>
          </w:tcPr>
          <w:p w14:paraId="0B2CD8A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94" w:type="dxa"/>
          </w:tcPr>
          <w:p w14:paraId="52800E8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94" w:type="dxa"/>
          </w:tcPr>
          <w:p w14:paraId="15BB248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94" w:type="dxa"/>
          </w:tcPr>
          <w:p w14:paraId="4775C2D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2" w:type="dxa"/>
          </w:tcPr>
          <w:p w14:paraId="0BC14E0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2" w:type="dxa"/>
          </w:tcPr>
          <w:p w14:paraId="11DA85A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2" w:type="dxa"/>
          </w:tcPr>
          <w:p w14:paraId="074568B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4" w:type="dxa"/>
          </w:tcPr>
          <w:p w14:paraId="0CCE747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84" w:type="dxa"/>
          </w:tcPr>
          <w:p w14:paraId="6757DAF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r>
      <w:tr w:rsidR="00FF6D47" w:rsidRPr="00EA1B3B" w14:paraId="67632F41" w14:textId="77777777" w:rsidTr="00D56DCE">
        <w:tc>
          <w:tcPr>
            <w:tcW w:w="594" w:type="dxa"/>
          </w:tcPr>
          <w:p w14:paraId="0BFF62E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CP2</w:t>
            </w:r>
          </w:p>
        </w:tc>
        <w:tc>
          <w:tcPr>
            <w:tcW w:w="580" w:type="dxa"/>
          </w:tcPr>
          <w:p w14:paraId="5F82D51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3935DFF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1" w:type="dxa"/>
          </w:tcPr>
          <w:p w14:paraId="62DF112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22A1E50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37DB170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6B1036B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79" w:type="dxa"/>
          </w:tcPr>
          <w:p w14:paraId="680F36D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94" w:type="dxa"/>
          </w:tcPr>
          <w:p w14:paraId="2AB87AD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94" w:type="dxa"/>
          </w:tcPr>
          <w:p w14:paraId="024DCA6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94" w:type="dxa"/>
          </w:tcPr>
          <w:p w14:paraId="7D597BC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2" w:type="dxa"/>
          </w:tcPr>
          <w:p w14:paraId="6CEF206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2" w:type="dxa"/>
          </w:tcPr>
          <w:p w14:paraId="2CBB9B7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2" w:type="dxa"/>
          </w:tcPr>
          <w:p w14:paraId="3446E73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84" w:type="dxa"/>
          </w:tcPr>
          <w:p w14:paraId="1F1FEB9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4" w:type="dxa"/>
          </w:tcPr>
          <w:p w14:paraId="269CC5F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r>
      <w:tr w:rsidR="00FF6D47" w:rsidRPr="00EA1B3B" w14:paraId="58F99E95" w14:textId="77777777" w:rsidTr="00D56DCE">
        <w:tc>
          <w:tcPr>
            <w:tcW w:w="594" w:type="dxa"/>
          </w:tcPr>
          <w:p w14:paraId="6318B5F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CP3</w:t>
            </w:r>
          </w:p>
        </w:tc>
        <w:tc>
          <w:tcPr>
            <w:tcW w:w="580" w:type="dxa"/>
          </w:tcPr>
          <w:p w14:paraId="460AA1E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1" w:type="dxa"/>
          </w:tcPr>
          <w:p w14:paraId="20F1B91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74576F1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594DB23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79" w:type="dxa"/>
          </w:tcPr>
          <w:p w14:paraId="14BB32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6C7C653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79" w:type="dxa"/>
          </w:tcPr>
          <w:p w14:paraId="7B4464F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94" w:type="dxa"/>
          </w:tcPr>
          <w:p w14:paraId="09E2648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4D3727D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94" w:type="dxa"/>
          </w:tcPr>
          <w:p w14:paraId="5800680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2" w:type="dxa"/>
          </w:tcPr>
          <w:p w14:paraId="22A3B73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82" w:type="dxa"/>
          </w:tcPr>
          <w:p w14:paraId="7DB8E80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2" w:type="dxa"/>
          </w:tcPr>
          <w:p w14:paraId="39A9A0E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84" w:type="dxa"/>
          </w:tcPr>
          <w:p w14:paraId="3B8F2B8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4" w:type="dxa"/>
          </w:tcPr>
          <w:p w14:paraId="7E85401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r>
      <w:tr w:rsidR="00FF6D47" w:rsidRPr="00EA1B3B" w14:paraId="0831F6A6" w14:textId="77777777" w:rsidTr="00D56DCE">
        <w:tc>
          <w:tcPr>
            <w:tcW w:w="594" w:type="dxa"/>
          </w:tcPr>
          <w:p w14:paraId="7B45925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GR1</w:t>
            </w:r>
          </w:p>
        </w:tc>
        <w:tc>
          <w:tcPr>
            <w:tcW w:w="580" w:type="dxa"/>
          </w:tcPr>
          <w:p w14:paraId="370B259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41AEB90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66FBFAF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1" w:type="dxa"/>
          </w:tcPr>
          <w:p w14:paraId="6BD8620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79" w:type="dxa"/>
          </w:tcPr>
          <w:p w14:paraId="673651A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79" w:type="dxa"/>
          </w:tcPr>
          <w:p w14:paraId="29E778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2FF5FC7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94" w:type="dxa"/>
          </w:tcPr>
          <w:p w14:paraId="0AE253D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94" w:type="dxa"/>
          </w:tcPr>
          <w:p w14:paraId="27B7425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94" w:type="dxa"/>
          </w:tcPr>
          <w:p w14:paraId="3C77BD6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82" w:type="dxa"/>
          </w:tcPr>
          <w:p w14:paraId="58AAA13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24F791A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0.36</w:t>
            </w:r>
          </w:p>
        </w:tc>
        <w:tc>
          <w:tcPr>
            <w:tcW w:w="582" w:type="dxa"/>
          </w:tcPr>
          <w:p w14:paraId="489C536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4" w:type="dxa"/>
          </w:tcPr>
          <w:p w14:paraId="3038105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4" w:type="dxa"/>
          </w:tcPr>
          <w:p w14:paraId="71D80B2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r>
      <w:tr w:rsidR="00FF6D47" w:rsidRPr="00EA1B3B" w14:paraId="6F1FDD5F" w14:textId="77777777" w:rsidTr="00D56DCE">
        <w:tc>
          <w:tcPr>
            <w:tcW w:w="594" w:type="dxa"/>
          </w:tcPr>
          <w:p w14:paraId="7FCFF96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GR2</w:t>
            </w:r>
          </w:p>
        </w:tc>
        <w:tc>
          <w:tcPr>
            <w:tcW w:w="580" w:type="dxa"/>
          </w:tcPr>
          <w:p w14:paraId="68A08A2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71E03BC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4261293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2475FA9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79" w:type="dxa"/>
          </w:tcPr>
          <w:p w14:paraId="5D1C539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22C0B48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55DAA0F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3F5E229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94" w:type="dxa"/>
          </w:tcPr>
          <w:p w14:paraId="19619BD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94" w:type="dxa"/>
          </w:tcPr>
          <w:p w14:paraId="50A3C47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82" w:type="dxa"/>
          </w:tcPr>
          <w:p w14:paraId="35B6039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2" w:type="dxa"/>
          </w:tcPr>
          <w:p w14:paraId="22B5A92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2E2808F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4" w:type="dxa"/>
          </w:tcPr>
          <w:p w14:paraId="50EC37C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4" w:type="dxa"/>
          </w:tcPr>
          <w:p w14:paraId="1125B86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r>
      <w:tr w:rsidR="00FF6D47" w:rsidRPr="00EA1B3B" w14:paraId="40B1B612" w14:textId="77777777" w:rsidTr="00D56DCE">
        <w:tc>
          <w:tcPr>
            <w:tcW w:w="594" w:type="dxa"/>
          </w:tcPr>
          <w:p w14:paraId="347C67D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GR3</w:t>
            </w:r>
          </w:p>
        </w:tc>
        <w:tc>
          <w:tcPr>
            <w:tcW w:w="580" w:type="dxa"/>
          </w:tcPr>
          <w:p w14:paraId="23A7A2C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711B9A2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4AF6CF4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1" w:type="dxa"/>
          </w:tcPr>
          <w:p w14:paraId="797A6DF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79" w:type="dxa"/>
          </w:tcPr>
          <w:p w14:paraId="68D8BB9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79" w:type="dxa"/>
          </w:tcPr>
          <w:p w14:paraId="5DA2B36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79" w:type="dxa"/>
          </w:tcPr>
          <w:p w14:paraId="45C86A4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94" w:type="dxa"/>
          </w:tcPr>
          <w:p w14:paraId="34A2F28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94" w:type="dxa"/>
          </w:tcPr>
          <w:p w14:paraId="6A3FD83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94" w:type="dxa"/>
          </w:tcPr>
          <w:p w14:paraId="2E57DE9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2" w:type="dxa"/>
          </w:tcPr>
          <w:p w14:paraId="7C037B2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2C97A23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2" w:type="dxa"/>
          </w:tcPr>
          <w:p w14:paraId="5037E4B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0.36</w:t>
            </w:r>
          </w:p>
        </w:tc>
        <w:tc>
          <w:tcPr>
            <w:tcW w:w="584" w:type="dxa"/>
          </w:tcPr>
          <w:p w14:paraId="0B4EF3B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4" w:type="dxa"/>
          </w:tcPr>
          <w:p w14:paraId="6EE7764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r>
      <w:tr w:rsidR="00FF6D47" w:rsidRPr="00EA1B3B" w14:paraId="4A977B4E" w14:textId="77777777" w:rsidTr="00D56DCE">
        <w:tc>
          <w:tcPr>
            <w:tcW w:w="594" w:type="dxa"/>
          </w:tcPr>
          <w:p w14:paraId="7CA2AB6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EC1</w:t>
            </w:r>
          </w:p>
        </w:tc>
        <w:tc>
          <w:tcPr>
            <w:tcW w:w="580" w:type="dxa"/>
          </w:tcPr>
          <w:p w14:paraId="07975B1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1" w:type="dxa"/>
          </w:tcPr>
          <w:p w14:paraId="548EBA8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0295BA5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451A360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1998958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0DAC14E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79" w:type="dxa"/>
          </w:tcPr>
          <w:p w14:paraId="1DAA039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94" w:type="dxa"/>
          </w:tcPr>
          <w:p w14:paraId="1E58510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3D297AF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94" w:type="dxa"/>
          </w:tcPr>
          <w:p w14:paraId="7B5E63F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82" w:type="dxa"/>
          </w:tcPr>
          <w:p w14:paraId="6F2EC51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2" w:type="dxa"/>
          </w:tcPr>
          <w:p w14:paraId="704BD7A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82" w:type="dxa"/>
          </w:tcPr>
          <w:p w14:paraId="289CE27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84" w:type="dxa"/>
          </w:tcPr>
          <w:p w14:paraId="25A9672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4" w:type="dxa"/>
          </w:tcPr>
          <w:p w14:paraId="6EE7B855"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r>
      <w:tr w:rsidR="00FF6D47" w:rsidRPr="00EA1B3B" w14:paraId="7145A3FE" w14:textId="77777777" w:rsidTr="00D56DCE">
        <w:tc>
          <w:tcPr>
            <w:tcW w:w="594" w:type="dxa"/>
          </w:tcPr>
          <w:p w14:paraId="306244D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EC2</w:t>
            </w:r>
          </w:p>
        </w:tc>
        <w:tc>
          <w:tcPr>
            <w:tcW w:w="580" w:type="dxa"/>
          </w:tcPr>
          <w:p w14:paraId="44F8B0D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13A5312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435B611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1" w:type="dxa"/>
          </w:tcPr>
          <w:p w14:paraId="23A9550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79" w:type="dxa"/>
          </w:tcPr>
          <w:p w14:paraId="322EB51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c>
          <w:tcPr>
            <w:tcW w:w="579" w:type="dxa"/>
          </w:tcPr>
          <w:p w14:paraId="44E545B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2AB1211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94" w:type="dxa"/>
          </w:tcPr>
          <w:p w14:paraId="684FBA2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94" w:type="dxa"/>
          </w:tcPr>
          <w:p w14:paraId="55A691D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94" w:type="dxa"/>
          </w:tcPr>
          <w:p w14:paraId="7234B24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82" w:type="dxa"/>
          </w:tcPr>
          <w:p w14:paraId="6AA72B5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2A36D6F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2" w:type="dxa"/>
          </w:tcPr>
          <w:p w14:paraId="14E18F3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4" w:type="dxa"/>
          </w:tcPr>
          <w:p w14:paraId="2C3FB70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4" w:type="dxa"/>
          </w:tcPr>
          <w:p w14:paraId="235E3C8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r>
      <w:tr w:rsidR="00FF6D47" w:rsidRPr="00EA1B3B" w14:paraId="56EB1337" w14:textId="77777777" w:rsidTr="00D56DCE">
        <w:tc>
          <w:tcPr>
            <w:tcW w:w="594" w:type="dxa"/>
          </w:tcPr>
          <w:p w14:paraId="17B13F0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EC3</w:t>
            </w:r>
          </w:p>
        </w:tc>
        <w:tc>
          <w:tcPr>
            <w:tcW w:w="580" w:type="dxa"/>
          </w:tcPr>
          <w:p w14:paraId="05CB139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1" w:type="dxa"/>
          </w:tcPr>
          <w:p w14:paraId="5ABC000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81" w:type="dxa"/>
          </w:tcPr>
          <w:p w14:paraId="79598A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1" w:type="dxa"/>
          </w:tcPr>
          <w:p w14:paraId="7B12AE9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0.31</w:t>
            </w:r>
          </w:p>
        </w:tc>
        <w:tc>
          <w:tcPr>
            <w:tcW w:w="579" w:type="dxa"/>
          </w:tcPr>
          <w:p w14:paraId="16C13086"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79" w:type="dxa"/>
          </w:tcPr>
          <w:p w14:paraId="0C6F51C9"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79" w:type="dxa"/>
          </w:tcPr>
          <w:p w14:paraId="25A13BF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3586A2E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94" w:type="dxa"/>
          </w:tcPr>
          <w:p w14:paraId="0923B9B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0.32</w:t>
            </w:r>
          </w:p>
        </w:tc>
        <w:tc>
          <w:tcPr>
            <w:tcW w:w="594" w:type="dxa"/>
          </w:tcPr>
          <w:p w14:paraId="3A98F78D"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0.33</w:t>
            </w:r>
          </w:p>
        </w:tc>
        <w:tc>
          <w:tcPr>
            <w:tcW w:w="582" w:type="dxa"/>
          </w:tcPr>
          <w:p w14:paraId="195DB40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0.34</w:t>
            </w:r>
          </w:p>
        </w:tc>
        <w:tc>
          <w:tcPr>
            <w:tcW w:w="582" w:type="dxa"/>
          </w:tcPr>
          <w:p w14:paraId="3AD0B8F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0.35</w:t>
            </w:r>
          </w:p>
        </w:tc>
        <w:tc>
          <w:tcPr>
            <w:tcW w:w="582" w:type="dxa"/>
          </w:tcPr>
          <w:p w14:paraId="7455246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4" w:type="dxa"/>
          </w:tcPr>
          <w:p w14:paraId="0161D47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4" w:type="dxa"/>
          </w:tcPr>
          <w:p w14:paraId="211FAAE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r>
      <w:tr w:rsidR="00FF6D47" w:rsidRPr="00EA1B3B" w14:paraId="73C373C8" w14:textId="77777777" w:rsidTr="00D56DCE">
        <w:tc>
          <w:tcPr>
            <w:tcW w:w="594" w:type="dxa"/>
          </w:tcPr>
          <w:p w14:paraId="134D010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EN1</w:t>
            </w:r>
          </w:p>
        </w:tc>
        <w:tc>
          <w:tcPr>
            <w:tcW w:w="580" w:type="dxa"/>
          </w:tcPr>
          <w:p w14:paraId="0C2D5C3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0.21</w:t>
            </w:r>
          </w:p>
        </w:tc>
        <w:tc>
          <w:tcPr>
            <w:tcW w:w="581" w:type="dxa"/>
          </w:tcPr>
          <w:p w14:paraId="43364D7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c>
          <w:tcPr>
            <w:tcW w:w="581" w:type="dxa"/>
          </w:tcPr>
          <w:p w14:paraId="1546B8A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81" w:type="dxa"/>
          </w:tcPr>
          <w:p w14:paraId="5525CFA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79" w:type="dxa"/>
          </w:tcPr>
          <w:p w14:paraId="269B36D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79" w:type="dxa"/>
          </w:tcPr>
          <w:p w14:paraId="2B93D0C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79" w:type="dxa"/>
          </w:tcPr>
          <w:p w14:paraId="60BCAFF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94" w:type="dxa"/>
          </w:tcPr>
          <w:p w14:paraId="41B687F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94" w:type="dxa"/>
          </w:tcPr>
          <w:p w14:paraId="128BF42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94" w:type="dxa"/>
          </w:tcPr>
          <w:p w14:paraId="1E21CCE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82" w:type="dxa"/>
          </w:tcPr>
          <w:p w14:paraId="11BE09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2" w:type="dxa"/>
          </w:tcPr>
          <w:p w14:paraId="426E9A8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2" w:type="dxa"/>
          </w:tcPr>
          <w:p w14:paraId="282B269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4" w:type="dxa"/>
          </w:tcPr>
          <w:p w14:paraId="1A73C71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c>
          <w:tcPr>
            <w:tcW w:w="584" w:type="dxa"/>
          </w:tcPr>
          <w:p w14:paraId="66A8C61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0.30</w:t>
            </w:r>
          </w:p>
        </w:tc>
      </w:tr>
      <w:tr w:rsidR="00FF6D47" w:rsidRPr="00EA1B3B" w14:paraId="6716F397" w14:textId="77777777" w:rsidTr="00D56DCE">
        <w:tc>
          <w:tcPr>
            <w:tcW w:w="594" w:type="dxa"/>
          </w:tcPr>
          <w:p w14:paraId="2C3DB84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EN2</w:t>
            </w:r>
          </w:p>
        </w:tc>
        <w:tc>
          <w:tcPr>
            <w:tcW w:w="580" w:type="dxa"/>
          </w:tcPr>
          <w:p w14:paraId="56D3D9A8"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0.20</w:t>
            </w:r>
          </w:p>
        </w:tc>
        <w:tc>
          <w:tcPr>
            <w:tcW w:w="581" w:type="dxa"/>
          </w:tcPr>
          <w:p w14:paraId="1851D5A7"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0.21</w:t>
            </w:r>
          </w:p>
        </w:tc>
        <w:tc>
          <w:tcPr>
            <w:tcW w:w="581" w:type="dxa"/>
          </w:tcPr>
          <w:p w14:paraId="167E366C"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c>
          <w:tcPr>
            <w:tcW w:w="581" w:type="dxa"/>
          </w:tcPr>
          <w:p w14:paraId="02FA7D0B"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79" w:type="dxa"/>
          </w:tcPr>
          <w:p w14:paraId="5E9BBE20"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0.23</w:t>
            </w:r>
          </w:p>
        </w:tc>
        <w:tc>
          <w:tcPr>
            <w:tcW w:w="579" w:type="dxa"/>
          </w:tcPr>
          <w:p w14:paraId="17D9B52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0.22</w:t>
            </w:r>
          </w:p>
        </w:tc>
        <w:tc>
          <w:tcPr>
            <w:tcW w:w="579" w:type="dxa"/>
          </w:tcPr>
          <w:p w14:paraId="1606AC3A"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94" w:type="dxa"/>
          </w:tcPr>
          <w:p w14:paraId="1909DC81"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0.26</w:t>
            </w:r>
          </w:p>
        </w:tc>
        <w:tc>
          <w:tcPr>
            <w:tcW w:w="594" w:type="dxa"/>
          </w:tcPr>
          <w:p w14:paraId="2A5CF384"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0.25</w:t>
            </w:r>
          </w:p>
        </w:tc>
        <w:tc>
          <w:tcPr>
            <w:tcW w:w="594" w:type="dxa"/>
          </w:tcPr>
          <w:p w14:paraId="4AF6E0B3"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0.24</w:t>
            </w:r>
          </w:p>
        </w:tc>
        <w:tc>
          <w:tcPr>
            <w:tcW w:w="582" w:type="dxa"/>
          </w:tcPr>
          <w:p w14:paraId="7C17136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2" w:type="dxa"/>
          </w:tcPr>
          <w:p w14:paraId="1C4F871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0.28</w:t>
            </w:r>
          </w:p>
        </w:tc>
        <w:tc>
          <w:tcPr>
            <w:tcW w:w="582" w:type="dxa"/>
          </w:tcPr>
          <w:p w14:paraId="31FD89BE"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0.27</w:t>
            </w:r>
          </w:p>
        </w:tc>
        <w:tc>
          <w:tcPr>
            <w:tcW w:w="584" w:type="dxa"/>
          </w:tcPr>
          <w:p w14:paraId="669A0D72"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0.29</w:t>
            </w:r>
          </w:p>
        </w:tc>
        <w:tc>
          <w:tcPr>
            <w:tcW w:w="584" w:type="dxa"/>
          </w:tcPr>
          <w:p w14:paraId="3F02BCEF" w14:textId="77777777" w:rsidR="00FF6D47" w:rsidRPr="00EA1B3B" w:rsidRDefault="00FF6D47" w:rsidP="00D56DCE">
            <w:pPr>
              <w:jc w:val="center"/>
              <w:rPr>
                <w:rFonts w:ascii="Times New Roman" w:hAnsi="Times New Roman" w:cs="Times New Roman"/>
                <w:sz w:val="20"/>
                <w:szCs w:val="20"/>
              </w:rPr>
            </w:pPr>
            <w:r w:rsidRPr="00EA1B3B">
              <w:rPr>
                <w:rFonts w:ascii="Times New Roman" w:hAnsi="Times New Roman" w:cs="Times New Roman"/>
                <w:sz w:val="20"/>
                <w:szCs w:val="20"/>
              </w:rPr>
              <w:t>0.00</w:t>
            </w:r>
          </w:p>
        </w:tc>
      </w:tr>
    </w:tbl>
    <w:p w14:paraId="34E00CD2" w14:textId="77777777" w:rsidR="00DA6D9C" w:rsidRDefault="00DA6D9C" w:rsidP="00FF6D47">
      <w:pPr>
        <w:spacing w:after="120" w:line="240" w:lineRule="auto"/>
        <w:jc w:val="both"/>
        <w:rPr>
          <w:rFonts w:ascii="Times New Roman" w:hAnsi="Times New Roman" w:cs="Times New Roman"/>
          <w:sz w:val="24"/>
          <w:szCs w:val="24"/>
        </w:rPr>
      </w:pPr>
    </w:p>
    <w:p w14:paraId="79103AC2" w14:textId="2A485B37" w:rsidR="00FF6D47" w:rsidRDefault="00FF6D47" w:rsidP="00FF6D47">
      <w:pPr>
        <w:spacing w:after="120" w:line="240" w:lineRule="auto"/>
        <w:jc w:val="both"/>
        <w:rPr>
          <w:rFonts w:ascii="Times New Roman" w:hAnsi="Times New Roman" w:cs="Times New Roman"/>
          <w:sz w:val="24"/>
          <w:szCs w:val="24"/>
        </w:rPr>
      </w:pPr>
      <w:r w:rsidRPr="00FF6D47">
        <w:rPr>
          <w:rFonts w:ascii="Times New Roman" w:hAnsi="Times New Roman" w:cs="Times New Roman"/>
          <w:sz w:val="24"/>
          <w:szCs w:val="24"/>
        </w:rPr>
        <w:t xml:space="preserve">Table </w:t>
      </w:r>
      <w:r w:rsidR="00DA6D9C">
        <w:rPr>
          <w:rFonts w:ascii="Times New Roman" w:hAnsi="Times New Roman" w:cs="Times New Roman"/>
          <w:sz w:val="24"/>
          <w:szCs w:val="24"/>
        </w:rPr>
        <w:t>A.2</w:t>
      </w:r>
      <w:r w:rsidRPr="00FF6D47">
        <w:rPr>
          <w:rFonts w:ascii="Times New Roman" w:hAnsi="Times New Roman" w:cs="Times New Roman"/>
          <w:sz w:val="24"/>
          <w:szCs w:val="24"/>
        </w:rPr>
        <w:t xml:space="preserve"> presents the complete normalized direct-relation matrix, which captures the relative strength of direct influence among sustainability–circularity risks in second-life EV battery supply chains. Each element reflects the averaged expert perception of how strongly a given risk affects another, after normalization to ensure methodological stability and comparability. Higher values indicate stronger directional influence, revealing dense interconnections particularly among governance (GR), technological (TR), and circular process (CP) risks. The matrix shows that governance-related risks (e.g., GR1–GR3) and diagnostic and standardization risks (e.g., TR4, CP3) consistently exert higher influence levels across multiple dimensions, suggesting their upstream role in shaping economic and environmental outcomes. In contrast, environmental risks (EN1–EN2) exhibit comparatively lower outbound influence, reinforcing their position as downstream consequences rather than structural drivers. This pattern is consistent with prior studies emphasizing that sustainability outcomes in circular and emerging-economy supply chains emerge from interacting governance and technological conditions rather than isolated end-of-life factors </w:t>
      </w:r>
      <w:r w:rsidRPr="00FF6D47">
        <w:rPr>
          <w:rFonts w:ascii="Times New Roman" w:hAnsi="Times New Roman" w:cs="Times New Roman"/>
          <w:sz w:val="24"/>
          <w:szCs w:val="24"/>
        </w:rPr>
        <w:fldChar w:fldCharType="begin"/>
      </w:r>
      <w:r w:rsidRPr="00FF6D47">
        <w:rPr>
          <w:rFonts w:ascii="Times New Roman" w:hAnsi="Times New Roman" w:cs="Times New Roman"/>
          <w:sz w:val="24"/>
          <w:szCs w:val="24"/>
        </w:rPr>
        <w:instrText xml:space="preserve"> ADDIN EN.CITE &lt;EndNote&gt;&lt;Cite&gt;&lt;Author&gt;Kampker&lt;/Author&gt;&lt;Year&gt;2023&lt;/Year&gt;&lt;RecNum&gt;20&lt;/RecNum&gt;&lt;DisplayText&gt;(Kampker et al., 2023)&lt;/DisplayText&gt;&lt;record&gt;&lt;rec-number&gt;20&lt;/rec-number&gt;&lt;foreign-keys&gt;&lt;key app="EN" db-id="2e950ez96eprpyeafx65vzz4a29z2ew5dxa0" timestamp="1771003531"&gt;20&lt;/key&gt;&lt;/foreign-keys&gt;&lt;ref-type name="Electronic Article"&gt;43&lt;/ref-type&gt;&lt;contributors&gt;&lt;authors&gt;&lt;author&gt;Kampker, Achim&lt;/author&gt;&lt;author&gt;Heimes, Heiner H.&lt;/author&gt;&lt;author&gt;Offermanns, Christian&lt;/author&gt;&lt;author&gt;Vienenkötter, Janis&lt;/author&gt;&lt;author&gt;Frank, Merlin&lt;/author&gt;&lt;author&gt;Holz, Daniel&lt;/author&gt;&lt;/authors&gt;&lt;/contributors&gt;&lt;titles&gt;&lt;title&gt;Identification of Challenges for Second-Life Battery Systems—A Literature Review&lt;/title&gt;&lt;secondary-title&gt;World Electric Vehicle Journal&lt;/secondary-title&gt;&lt;/titles&gt;&lt;periodical&gt;&lt;full-title&gt;World Electric Vehicle Journal&lt;/full-title&gt;&lt;/periodical&gt;&lt;pages&gt;80&lt;/pages&gt;&lt;volume&gt;14&lt;/volume&gt;&lt;number&gt;4&lt;/number&gt;&lt;keywords&gt;&lt;keyword&gt;battery second-life&lt;/keyword&gt;&lt;keyword&gt;reuse&lt;/keyword&gt;&lt;keyword&gt;challenges&lt;/keyword&gt;&lt;keyword&gt;battery life cycle&lt;/keyword&gt;&lt;keyword&gt;review&lt;/keyword&gt;&lt;/keywords&gt;&lt;dates&gt;&lt;year&gt;2023&lt;/year&gt;&lt;/dates&gt;&lt;isbn&gt;2032-6653&lt;/isbn&gt;&lt;urls&gt;&lt;/urls&gt;&lt;electronic-resource-num&gt;10.3390/wevj14040080&lt;/electronic-resource-num&gt;&lt;/record&gt;&lt;/Cite&gt;&lt;/EndNote&gt;</w:instrText>
      </w:r>
      <w:r w:rsidRPr="00FF6D47">
        <w:rPr>
          <w:rFonts w:ascii="Times New Roman" w:hAnsi="Times New Roman" w:cs="Times New Roman"/>
          <w:sz w:val="24"/>
          <w:szCs w:val="24"/>
        </w:rPr>
        <w:fldChar w:fldCharType="separate"/>
      </w:r>
      <w:r w:rsidRPr="00FF6D47">
        <w:rPr>
          <w:rFonts w:ascii="Times New Roman" w:hAnsi="Times New Roman" w:cs="Times New Roman"/>
          <w:noProof/>
          <w:sz w:val="24"/>
          <w:szCs w:val="24"/>
        </w:rPr>
        <w:t>(Kampker et al., 2023)</w:t>
      </w:r>
      <w:r w:rsidRPr="00FF6D47">
        <w:rPr>
          <w:rFonts w:ascii="Times New Roman" w:hAnsi="Times New Roman" w:cs="Times New Roman"/>
          <w:sz w:val="24"/>
          <w:szCs w:val="24"/>
        </w:rPr>
        <w:fldChar w:fldCharType="end"/>
      </w:r>
      <w:r w:rsidRPr="00FF6D47">
        <w:rPr>
          <w:rFonts w:ascii="Times New Roman" w:hAnsi="Times New Roman" w:cs="Times New Roman"/>
          <w:sz w:val="24"/>
          <w:szCs w:val="24"/>
        </w:rPr>
        <w:t>. The normalized direct-relation matrix, therefore, provides the empirical foundation for identifying causal structures and computing systemic prominence in the subsequent DEMATEL analysis.</w:t>
      </w:r>
    </w:p>
    <w:p w14:paraId="2118ADB3" w14:textId="48194F4A" w:rsidR="00C92E2F" w:rsidRPr="002E0346" w:rsidRDefault="00C92E2F"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i/>
          <w:sz w:val="24"/>
          <w:szCs w:val="24"/>
        </w:rPr>
      </w:pPr>
      <w:r w:rsidRPr="002E0346">
        <w:rPr>
          <w:rFonts w:ascii="Times New Roman" w:hAnsi="Times New Roman" w:cs="Times New Roman"/>
          <w:b/>
          <w:i/>
          <w:sz w:val="24"/>
          <w:szCs w:val="24"/>
        </w:rPr>
        <w:t>Fa</w:t>
      </w:r>
      <w:r w:rsidR="002E0346">
        <w:rPr>
          <w:rFonts w:ascii="Times New Roman" w:hAnsi="Times New Roman" w:cs="Times New Roman"/>
          <w:b/>
          <w:i/>
          <w:sz w:val="24"/>
          <w:szCs w:val="24"/>
        </w:rPr>
        <w:t>i</w:t>
      </w:r>
      <w:r w:rsidRPr="002E0346">
        <w:rPr>
          <w:rFonts w:ascii="Times New Roman" w:hAnsi="Times New Roman" w:cs="Times New Roman"/>
          <w:b/>
          <w:i/>
          <w:sz w:val="24"/>
          <w:szCs w:val="24"/>
        </w:rPr>
        <w:t>lure Mode and Effect Analysis</w:t>
      </w:r>
    </w:p>
    <w:p w14:paraId="6A074934" w14:textId="18FEA993" w:rsidR="00C92E2F" w:rsidRPr="00733BEB" w:rsidRDefault="00C92E2F" w:rsidP="00C92E2F">
      <w:pPr>
        <w:spacing w:before="120" w:after="12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Severity reflects the potential impact on safety, environmental performance, and circular decarbonization outcomes; occurrence captures the likelihood of failure under prevailing operational and governance conditions; and detectability reflects the ability to identify failures before adverse impacts occur. The scoring scales and qualitative interpretations follow established FMEA practices widely adopted in sustainability-oriented risk studies and are summarized in </w:t>
      </w:r>
      <w:r w:rsidRPr="00733BEB">
        <w:rPr>
          <w:rFonts w:ascii="Times New Roman" w:hAnsi="Times New Roman" w:cs="Times New Roman"/>
          <w:bCs/>
          <w:sz w:val="24"/>
          <w:szCs w:val="24"/>
        </w:rPr>
        <w:t xml:space="preserve">Table </w:t>
      </w:r>
      <w:r w:rsidR="00DA6D9C">
        <w:rPr>
          <w:rFonts w:ascii="Times New Roman" w:hAnsi="Times New Roman" w:cs="Times New Roman"/>
          <w:bCs/>
          <w:sz w:val="24"/>
          <w:szCs w:val="24"/>
        </w:rPr>
        <w:t>A.3</w:t>
      </w:r>
      <w:r w:rsidRPr="00733BEB">
        <w:rPr>
          <w:rFonts w:ascii="Times New Roman" w:hAnsi="Times New Roman" w:cs="Times New Roman"/>
          <w:sz w:val="24"/>
          <w:szCs w:val="24"/>
        </w:rPr>
        <w:t>. Notably, detectability scores tend to be higher (i.e., poorer detectability) for risks involving informal actors, consistent with prior findings on monitoring limitations in informal-dominated supply chains.</w:t>
      </w:r>
    </w:p>
    <w:p w14:paraId="34904E72" w14:textId="03BA40D6" w:rsidR="00C92E2F" w:rsidRPr="00733BEB" w:rsidRDefault="00C92E2F" w:rsidP="00C92E2F">
      <w:pPr>
        <w:spacing w:before="120" w:after="120" w:line="240" w:lineRule="auto"/>
        <w:jc w:val="center"/>
        <w:rPr>
          <w:rFonts w:ascii="Times New Roman" w:hAnsi="Times New Roman" w:cs="Times New Roman"/>
          <w:sz w:val="24"/>
          <w:szCs w:val="24"/>
        </w:rPr>
      </w:pPr>
      <w:r w:rsidRPr="00733BEB">
        <w:rPr>
          <w:rFonts w:ascii="Times New Roman" w:hAnsi="Times New Roman" w:cs="Times New Roman"/>
          <w:sz w:val="24"/>
          <w:szCs w:val="24"/>
        </w:rPr>
        <w:lastRenderedPageBreak/>
        <w:t xml:space="preserve">Table </w:t>
      </w:r>
      <w:r w:rsidR="00860957">
        <w:rPr>
          <w:rFonts w:ascii="Times New Roman" w:hAnsi="Times New Roman" w:cs="Times New Roman"/>
          <w:sz w:val="24"/>
          <w:szCs w:val="24"/>
        </w:rPr>
        <w:t>A.3</w:t>
      </w:r>
      <w:r w:rsidRPr="00733BEB">
        <w:rPr>
          <w:rFonts w:ascii="Times New Roman" w:hAnsi="Times New Roman" w:cs="Times New Roman"/>
          <w:sz w:val="24"/>
          <w:szCs w:val="24"/>
        </w:rPr>
        <w:t>. FMEA Scoring Criteria and Interpretation</w:t>
      </w:r>
    </w:p>
    <w:tbl>
      <w:tblPr>
        <w:tblStyle w:val="TableGrid"/>
        <w:tblW w:w="0" w:type="auto"/>
        <w:tblInd w:w="85" w:type="dxa"/>
        <w:tblBorders>
          <w:left w:val="none" w:sz="0" w:space="0" w:color="auto"/>
          <w:right w:val="none" w:sz="0" w:space="0" w:color="auto"/>
          <w:insideV w:val="none" w:sz="0" w:space="0" w:color="auto"/>
        </w:tblBorders>
        <w:tblLook w:val="04A0" w:firstRow="1" w:lastRow="0" w:firstColumn="1" w:lastColumn="0" w:noHBand="0" w:noVBand="1"/>
      </w:tblPr>
      <w:tblGrid>
        <w:gridCol w:w="2070"/>
        <w:gridCol w:w="1440"/>
        <w:gridCol w:w="5580"/>
      </w:tblGrid>
      <w:tr w:rsidR="00C92E2F" w:rsidRPr="00733BEB" w14:paraId="578CD82C" w14:textId="77777777" w:rsidTr="00D56DCE">
        <w:trPr>
          <w:cantSplit/>
        </w:trPr>
        <w:tc>
          <w:tcPr>
            <w:tcW w:w="2070" w:type="dxa"/>
          </w:tcPr>
          <w:p w14:paraId="1F1E3D3D" w14:textId="77777777" w:rsidR="00C92E2F" w:rsidRPr="00733BEB" w:rsidRDefault="00C92E2F" w:rsidP="00D56DCE">
            <w:pPr>
              <w:rPr>
                <w:rFonts w:ascii="Times New Roman" w:hAnsi="Times New Roman" w:cs="Times New Roman"/>
                <w:b/>
                <w:sz w:val="24"/>
                <w:szCs w:val="24"/>
              </w:rPr>
            </w:pPr>
            <w:r w:rsidRPr="00733BEB">
              <w:rPr>
                <w:rFonts w:ascii="Times New Roman" w:hAnsi="Times New Roman" w:cs="Times New Roman"/>
                <w:b/>
              </w:rPr>
              <w:t>Criterion</w:t>
            </w:r>
          </w:p>
        </w:tc>
        <w:tc>
          <w:tcPr>
            <w:tcW w:w="1440" w:type="dxa"/>
          </w:tcPr>
          <w:p w14:paraId="66200E1F" w14:textId="77777777" w:rsidR="00C92E2F" w:rsidRPr="00733BEB" w:rsidRDefault="00C92E2F" w:rsidP="00D56DCE">
            <w:pPr>
              <w:rPr>
                <w:rFonts w:ascii="Times New Roman" w:hAnsi="Times New Roman" w:cs="Times New Roman"/>
                <w:b/>
                <w:sz w:val="24"/>
                <w:szCs w:val="24"/>
              </w:rPr>
            </w:pPr>
            <w:r w:rsidRPr="00733BEB">
              <w:rPr>
                <w:rFonts w:ascii="Times New Roman" w:hAnsi="Times New Roman" w:cs="Times New Roman"/>
                <w:b/>
              </w:rPr>
              <w:t>Score Range</w:t>
            </w:r>
          </w:p>
        </w:tc>
        <w:tc>
          <w:tcPr>
            <w:tcW w:w="5580" w:type="dxa"/>
          </w:tcPr>
          <w:p w14:paraId="76CAA79B" w14:textId="77777777" w:rsidR="00C92E2F" w:rsidRPr="00733BEB" w:rsidRDefault="00C92E2F" w:rsidP="00D56DCE">
            <w:pPr>
              <w:rPr>
                <w:rFonts w:ascii="Times New Roman" w:hAnsi="Times New Roman" w:cs="Times New Roman"/>
                <w:b/>
                <w:sz w:val="24"/>
                <w:szCs w:val="24"/>
              </w:rPr>
            </w:pPr>
            <w:r w:rsidRPr="00733BEB">
              <w:rPr>
                <w:rFonts w:ascii="Times New Roman" w:hAnsi="Times New Roman" w:cs="Times New Roman"/>
                <w:b/>
              </w:rPr>
              <w:t>Interpretation</w:t>
            </w:r>
          </w:p>
        </w:tc>
      </w:tr>
      <w:tr w:rsidR="00C92E2F" w:rsidRPr="00733BEB" w14:paraId="6C09F42B" w14:textId="77777777" w:rsidTr="00D56DCE">
        <w:trPr>
          <w:cantSplit/>
        </w:trPr>
        <w:tc>
          <w:tcPr>
            <w:tcW w:w="2070" w:type="dxa"/>
          </w:tcPr>
          <w:p w14:paraId="514DFB5B"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Severity (S)</w:t>
            </w:r>
          </w:p>
        </w:tc>
        <w:tc>
          <w:tcPr>
            <w:tcW w:w="1440" w:type="dxa"/>
          </w:tcPr>
          <w:p w14:paraId="37B0B710"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1–10</w:t>
            </w:r>
          </w:p>
        </w:tc>
        <w:tc>
          <w:tcPr>
            <w:tcW w:w="5580" w:type="dxa"/>
          </w:tcPr>
          <w:p w14:paraId="116BB4F6"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Minor impact → catastrophic safety/environmental impact</w:t>
            </w:r>
          </w:p>
        </w:tc>
      </w:tr>
      <w:tr w:rsidR="00C92E2F" w:rsidRPr="00733BEB" w14:paraId="4F96F29C" w14:textId="77777777" w:rsidTr="00D56DCE">
        <w:trPr>
          <w:cantSplit/>
        </w:trPr>
        <w:tc>
          <w:tcPr>
            <w:tcW w:w="2070" w:type="dxa"/>
          </w:tcPr>
          <w:p w14:paraId="54E8F54E"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Occurrence (O)</w:t>
            </w:r>
          </w:p>
        </w:tc>
        <w:tc>
          <w:tcPr>
            <w:tcW w:w="1440" w:type="dxa"/>
          </w:tcPr>
          <w:p w14:paraId="08178988"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1–10</w:t>
            </w:r>
          </w:p>
        </w:tc>
        <w:tc>
          <w:tcPr>
            <w:tcW w:w="5580" w:type="dxa"/>
          </w:tcPr>
          <w:p w14:paraId="0A03D1DE"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Rare → highly frequent</w:t>
            </w:r>
          </w:p>
        </w:tc>
      </w:tr>
      <w:tr w:rsidR="00C92E2F" w:rsidRPr="00733BEB" w14:paraId="2DCF8C1D" w14:textId="77777777" w:rsidTr="00D56DCE">
        <w:trPr>
          <w:cantSplit/>
        </w:trPr>
        <w:tc>
          <w:tcPr>
            <w:tcW w:w="2070" w:type="dxa"/>
          </w:tcPr>
          <w:p w14:paraId="6CE63704"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Detectability (D)</w:t>
            </w:r>
          </w:p>
        </w:tc>
        <w:tc>
          <w:tcPr>
            <w:tcW w:w="1440" w:type="dxa"/>
          </w:tcPr>
          <w:p w14:paraId="56D98751"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1–10</w:t>
            </w:r>
          </w:p>
        </w:tc>
        <w:tc>
          <w:tcPr>
            <w:tcW w:w="5580" w:type="dxa"/>
          </w:tcPr>
          <w:p w14:paraId="722919CC" w14:textId="77777777" w:rsidR="00C92E2F" w:rsidRPr="00733BEB" w:rsidRDefault="00C92E2F" w:rsidP="00D56DCE">
            <w:pPr>
              <w:rPr>
                <w:rFonts w:ascii="Times New Roman" w:hAnsi="Times New Roman" w:cs="Times New Roman"/>
                <w:sz w:val="24"/>
                <w:szCs w:val="24"/>
              </w:rPr>
            </w:pPr>
            <w:r w:rsidRPr="00733BEB">
              <w:rPr>
                <w:rFonts w:ascii="Times New Roman" w:hAnsi="Times New Roman" w:cs="Times New Roman"/>
              </w:rPr>
              <w:t>Easily detectable → undetectable</w:t>
            </w:r>
          </w:p>
        </w:tc>
      </w:tr>
    </w:tbl>
    <w:p w14:paraId="7385AB3D" w14:textId="77777777" w:rsidR="00C92E2F" w:rsidRDefault="00C92E2F" w:rsidP="00FF6D47">
      <w:pPr>
        <w:spacing w:after="120" w:line="240" w:lineRule="auto"/>
        <w:jc w:val="both"/>
        <w:rPr>
          <w:rFonts w:ascii="Times New Roman" w:hAnsi="Times New Roman" w:cs="Times New Roman"/>
          <w:sz w:val="24"/>
          <w:szCs w:val="24"/>
          <w:lang w:val="en-ID"/>
        </w:rPr>
      </w:pPr>
    </w:p>
    <w:p w14:paraId="7E53C98B" w14:textId="307F83C5" w:rsidR="00C92E2F" w:rsidRPr="00733BEB" w:rsidRDefault="00C92E2F"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bCs/>
          <w:i/>
          <w:sz w:val="24"/>
          <w:szCs w:val="24"/>
        </w:rPr>
      </w:pPr>
      <w:r w:rsidRPr="00733BEB">
        <w:rPr>
          <w:rFonts w:ascii="Times New Roman" w:hAnsi="Times New Roman" w:cs="Times New Roman"/>
          <w:b/>
          <w:bCs/>
          <w:i/>
          <w:sz w:val="24"/>
          <w:szCs w:val="24"/>
        </w:rPr>
        <w:t>Risk Prioritization and Integration with DEMATEL Results</w:t>
      </w:r>
    </w:p>
    <w:p w14:paraId="0487F0F4" w14:textId="262D03D1" w:rsidR="00C92E2F" w:rsidRPr="00733BEB" w:rsidRDefault="00C92E2F" w:rsidP="00C92E2F">
      <w:pPr>
        <w:spacing w:after="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The results presented in </w:t>
      </w:r>
      <w:r w:rsidRPr="00733BEB">
        <w:rPr>
          <w:rFonts w:ascii="Times New Roman" w:hAnsi="Times New Roman" w:cs="Times New Roman"/>
          <w:bCs/>
          <w:sz w:val="24"/>
          <w:szCs w:val="24"/>
        </w:rPr>
        <w:t xml:space="preserve">Table </w:t>
      </w:r>
      <w:r w:rsidR="00DA6D9C">
        <w:rPr>
          <w:rFonts w:ascii="Times New Roman" w:hAnsi="Times New Roman" w:cs="Times New Roman"/>
          <w:bCs/>
          <w:sz w:val="24"/>
          <w:szCs w:val="24"/>
        </w:rPr>
        <w:t>8</w:t>
      </w:r>
      <w:r w:rsidRPr="00733BEB">
        <w:rPr>
          <w:rFonts w:ascii="Times New Roman" w:hAnsi="Times New Roman" w:cs="Times New Roman"/>
          <w:sz w:val="24"/>
          <w:szCs w:val="24"/>
        </w:rPr>
        <w:t xml:space="preserve"> reveal a clear distinction between </w:t>
      </w:r>
      <w:r w:rsidRPr="00733BEB">
        <w:rPr>
          <w:rFonts w:ascii="Times New Roman" w:hAnsi="Times New Roman" w:cs="Times New Roman"/>
          <w:bCs/>
          <w:sz w:val="24"/>
          <w:szCs w:val="24"/>
        </w:rPr>
        <w:t>systemically causal risks</w:t>
      </w:r>
      <w:r w:rsidRPr="00733BEB">
        <w:rPr>
          <w:rFonts w:ascii="Times New Roman" w:hAnsi="Times New Roman" w:cs="Times New Roman"/>
          <w:sz w:val="24"/>
          <w:szCs w:val="24"/>
        </w:rPr>
        <w:t xml:space="preserve"> and </w:t>
      </w:r>
      <w:r w:rsidRPr="00733BEB">
        <w:rPr>
          <w:rFonts w:ascii="Times New Roman" w:hAnsi="Times New Roman" w:cs="Times New Roman"/>
          <w:bCs/>
          <w:sz w:val="24"/>
          <w:szCs w:val="24"/>
        </w:rPr>
        <w:t>operationally severe failure modes</w:t>
      </w:r>
      <w:r w:rsidRPr="00733BEB">
        <w:rPr>
          <w:rFonts w:ascii="Times New Roman" w:hAnsi="Times New Roman" w:cs="Times New Roman"/>
          <w:sz w:val="24"/>
          <w:szCs w:val="24"/>
        </w:rPr>
        <w:t xml:space="preserve">, underscoring the analytical value of integrating DEMATEL with FMEA rather than relying on standalone risk ranking approaches. Governance-related risks, particularly </w:t>
      </w:r>
      <w:r w:rsidRPr="00733BEB">
        <w:rPr>
          <w:rFonts w:ascii="Times New Roman" w:hAnsi="Times New Roman" w:cs="Times New Roman"/>
          <w:bCs/>
          <w:sz w:val="24"/>
          <w:szCs w:val="24"/>
        </w:rPr>
        <w:t>GR1 (regulatory enforcement gaps)</w:t>
      </w:r>
      <w:r w:rsidRPr="00733BEB">
        <w:rPr>
          <w:rFonts w:ascii="Times New Roman" w:hAnsi="Times New Roman" w:cs="Times New Roman"/>
          <w:sz w:val="24"/>
          <w:szCs w:val="24"/>
        </w:rPr>
        <w:t xml:space="preserve"> and </w:t>
      </w:r>
      <w:r w:rsidRPr="00733BEB">
        <w:rPr>
          <w:rFonts w:ascii="Times New Roman" w:hAnsi="Times New Roman" w:cs="Times New Roman"/>
          <w:bCs/>
          <w:sz w:val="24"/>
          <w:szCs w:val="24"/>
        </w:rPr>
        <w:t>GR3 (weak extended producer responsibility enforcement)</w:t>
      </w:r>
      <w:r w:rsidRPr="00733BEB">
        <w:rPr>
          <w:rFonts w:ascii="Times New Roman" w:hAnsi="Times New Roman" w:cs="Times New Roman"/>
          <w:sz w:val="24"/>
          <w:szCs w:val="24"/>
        </w:rPr>
        <w:t xml:space="preserve">, emerge as the most critical priorities not only due to their high FMEA indices but also because of their </w:t>
      </w:r>
      <w:r w:rsidRPr="00733BEB">
        <w:rPr>
          <w:rFonts w:ascii="Times New Roman" w:hAnsi="Times New Roman" w:cs="Times New Roman"/>
          <w:bCs/>
          <w:sz w:val="24"/>
          <w:szCs w:val="24"/>
        </w:rPr>
        <w:t>positive DEMATEL relation (R − C) values</w:t>
      </w:r>
      <w:r w:rsidRPr="00733BEB">
        <w:rPr>
          <w:rFonts w:ascii="Times New Roman" w:hAnsi="Times New Roman" w:cs="Times New Roman"/>
          <w:sz w:val="24"/>
          <w:szCs w:val="24"/>
        </w:rPr>
        <w:t xml:space="preserve">, confirming their role as </w:t>
      </w:r>
      <w:r w:rsidRPr="00733BEB">
        <w:rPr>
          <w:rFonts w:ascii="Times New Roman" w:hAnsi="Times New Roman" w:cs="Times New Roman"/>
          <w:bCs/>
          <w:sz w:val="24"/>
          <w:szCs w:val="24"/>
        </w:rPr>
        <w:t>root-cause drivers</w:t>
      </w:r>
      <w:r w:rsidRPr="00733BEB">
        <w:rPr>
          <w:rFonts w:ascii="Times New Roman" w:hAnsi="Times New Roman" w:cs="Times New Roman"/>
          <w:sz w:val="24"/>
          <w:szCs w:val="24"/>
        </w:rPr>
        <w:t xml:space="preserve"> within the second-life EV battery supply chain. This finding is consistent with prior studies emphasizing that governance and institutional coherence often act as upstream determinants of supply-chain risk propagation in circular and sustainability-oriented systems, especially in emerging economies where regulatory fragmentation and enforcement asymmetries are prevalent (e.g.,</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AuthorYear="1"&gt;&lt;Author&gt;Yadav&lt;/Author&gt;&lt;Year&gt;2024&lt;/Year&gt;&lt;RecNum&gt;24&lt;/RecNum&gt;&lt;DisplayText&gt;Yadav et al. (2024)&lt;/DisplayText&gt;&lt;record&gt;&lt;rec-number&gt;24&lt;/rec-number&gt;&lt;foreign-keys&gt;&lt;key app="EN" db-id="2e950ez96eprpyeafx65vzz4a29z2ew5dxa0" timestamp="1771246018"&gt;24&lt;/key&gt;&lt;/foreign-keys&gt;&lt;ref-type name="Electronic Article"&gt;43&lt;/ref-type&gt;&lt;contributors&gt;&lt;authors&gt;&lt;author&gt;Yadav, Alok&lt;/author&gt;&lt;author&gt;Sachdeva, Anish&lt;/author&gt;&lt;author&gt;Garg, Rajiv K.&lt;/author&gt;&lt;author&gt;Qureshi, Karishma M.&lt;/author&gt;&lt;author&gt;Mewada, Bhavesh G.&lt;/author&gt;&lt;author&gt;Qureshi, Mohamed R.&lt;/author&gt;&lt;author&gt;Mansour, Mohamed&lt;/author&gt;&lt;/authors&gt;&lt;/contributors&gt;&lt;titles&gt;&lt;title&gt;Achieving Net-Zero in the Manufacturing Supply Chain through Carbon Capture and LCA: A Comprehensive Framework with BWM-Fuzzy DEMATEL&lt;/title&gt;&lt;secondary-title&gt;Sustainability&lt;/secondary-title&gt;&lt;/titles&gt;&lt;periodical&gt;&lt;full-title&gt;Sustainability&lt;/full-title&gt;&lt;/periodical&gt;&lt;pages&gt;6972&lt;/pages&gt;&lt;volume&gt;16&lt;/volume&gt;&lt;number&gt;16&lt;/number&gt;&lt;keywords&gt;&lt;keyword&gt;net zero supply chain&lt;/keyword&gt;&lt;keyword&gt;manufacturing&lt;/keyword&gt;&lt;keyword&gt;carbon capture&lt;/keyword&gt;&lt;keyword&gt;life cycle assessment&lt;/keyword&gt;&lt;keyword&gt;enablers&lt;/keyword&gt;&lt;keyword&gt;BWM&lt;/keyword&gt;&lt;keyword&gt;F-DEMATEL&lt;/keyword&gt;&lt;/keywords&gt;&lt;dates&gt;&lt;year&gt;2024&lt;/year&gt;&lt;/dates&gt;&lt;isbn&gt;2071-1050&lt;/isbn&gt;&lt;urls&gt;&lt;/urls&gt;&lt;electronic-resource-num&gt;10.3390/su16166972&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Yadav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and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AuthorYear="1"&gt;&lt;Author&gt;Akram&lt;/Author&gt;&lt;Year&gt;2024&lt;/Year&gt;&lt;RecNum&gt;12&lt;/RecNum&gt;&lt;DisplayText&gt;Akram and Abdul-Kader (2024)&lt;/DisplayText&gt;&lt;record&gt;&lt;rec-number&gt;12&lt;/rec-number&gt;&lt;foreign-keys&gt;&lt;key app="EN" db-id="2e950ez96eprpyeafx65vzz4a29z2ew5dxa0" timestamp="1770989490"&gt;12&lt;/key&gt;&lt;/foreign-keys&gt;&lt;ref-type name="Electronic Article"&gt;43&lt;/ref-type&gt;&lt;contributors&gt;&lt;authors&gt;&lt;author&gt;Akram, Muhammad N.&lt;/author&gt;&lt;author&gt;Abdul-Kader, Walid&lt;/author&gt;&lt;/authors&gt;&lt;/contributors&gt;&lt;titles&gt;&lt;title&gt;Repurposing Second-Life EV Batteries to Advance Sustainable Development: A Comprehensive Review&lt;/title&gt;&lt;secondary-title&gt;Batteries&lt;/secondary-title&gt;&lt;/titles&gt;&lt;periodical&gt;&lt;full-title&gt;Batteries&lt;/full-title&gt;&lt;/periodical&gt;&lt;pages&gt;452&lt;/pages&gt;&lt;volume&gt;10&lt;/volume&gt;&lt;number&gt;12&lt;/number&gt;&lt;keywords&gt;&lt;keyword&gt;sustainable development goals&lt;/keyword&gt;&lt;keyword&gt;repurposing&lt;/keyword&gt;&lt;keyword&gt;second-life battery&lt;/keyword&gt;&lt;keyword&gt;stationary applications&lt;/keyword&gt;&lt;keyword&gt;environmental benefits&lt;/keyword&gt;&lt;keyword&gt;battery aging mechanism&lt;/keyword&gt;&lt;/keywords&gt;&lt;dates&gt;&lt;year&gt;2024&lt;/year&gt;&lt;/dates&gt;&lt;isbn&gt;2313-0105&lt;/isbn&gt;&lt;urls&gt;&lt;/urls&gt;&lt;electronic-resource-num&gt;10.3390/batteries10120452&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Akram and Abdul-Kader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6E3377A3" w14:textId="77777777" w:rsidR="00C92E2F" w:rsidRDefault="00C92E2F" w:rsidP="00C92E2F">
      <w:pPr>
        <w:spacing w:after="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In contrast, </w:t>
      </w:r>
      <w:r w:rsidRPr="00733BEB">
        <w:rPr>
          <w:rFonts w:ascii="Times New Roman" w:hAnsi="Times New Roman" w:cs="Times New Roman"/>
          <w:bCs/>
          <w:sz w:val="24"/>
          <w:szCs w:val="24"/>
        </w:rPr>
        <w:t>TR4 (absence of standardized tracking systems)</w:t>
      </w:r>
      <w:r w:rsidRPr="00733BEB">
        <w:rPr>
          <w:rFonts w:ascii="Times New Roman" w:hAnsi="Times New Roman" w:cs="Times New Roman"/>
          <w:sz w:val="24"/>
          <w:szCs w:val="24"/>
        </w:rPr>
        <w:t xml:space="preserve"> exhibits the highest prominence and FMEA score while remaining an effect-type factor, indicating that traceability failures largely represent </w:t>
      </w:r>
      <w:r w:rsidRPr="00733BEB">
        <w:rPr>
          <w:rFonts w:ascii="Times New Roman" w:hAnsi="Times New Roman" w:cs="Times New Roman"/>
          <w:bCs/>
          <w:sz w:val="24"/>
          <w:szCs w:val="24"/>
        </w:rPr>
        <w:t>systemic outcomes of upstream governance and coordination deficiencies</w:t>
      </w:r>
      <w:r w:rsidRPr="00733BEB">
        <w:rPr>
          <w:rFonts w:ascii="Times New Roman" w:hAnsi="Times New Roman" w:cs="Times New Roman"/>
          <w:sz w:val="24"/>
          <w:szCs w:val="24"/>
        </w:rPr>
        <w:t xml:space="preserve"> rather than independent intervention points. Similar patterns have been reported in hybrid DEMATEL–FMEA studies, where highly visible operational failures are shown to be symptoms of deeper structural weaknesses when causal relationships are explicitly modeled (e.g.,</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AuthorYear="1"&gt;&lt;Author&gt;Toorajipour&lt;/Author&gt;&lt;Year&gt;2024&lt;/Year&gt;&lt;RecNum&gt;32&lt;/RecNum&gt;&lt;DisplayText&gt;Toorajipour et al. (2024)&lt;/DisplayText&gt;&lt;record&gt;&lt;rec-number&gt;32&lt;/rec-number&gt;&lt;foreign-keys&gt;&lt;key app="EN" db-id="2e950ez96eprpyeafx65vzz4a29z2ew5dxa0" timestamp="1771308536"&gt;32&lt;/key&gt;&lt;/foreign-keys&gt;&lt;ref-type name="Journal Article"&gt;17&lt;/ref-type&gt;&lt;contributors&gt;&lt;authors&gt;&lt;author&gt;Toorajipour, Reza&lt;/author&gt;&lt;author&gt;Chirumalla, Koteshwar&lt;/author&gt;&lt;author&gt;Johansson, Glenn&lt;/author&gt;&lt;author&gt;Dahlquist, Erik&lt;/author&gt;&lt;author&gt;Wallin, Fredrik&lt;/author&gt;&lt;/authors&gt;&lt;/contributors&gt;&lt;titles&gt;&lt;title&gt;Implementing circular business models for the second-life battery of electric vehicles: Challenges and enablers from an ecosystem perspective&lt;/title&gt;&lt;secondary-title&gt;Business Strategy and the Environment&lt;/secondary-title&gt;&lt;/titles&gt;&lt;periodical&gt;&lt;full-title&gt;Business Strategy and the Environment&lt;/full-title&gt;&lt;/periodical&gt;&lt;pages&gt;8637-8655&lt;/pages&gt;&lt;volume&gt;33&lt;/volume&gt;&lt;number&gt;8&lt;/number&gt;&lt;keywords&gt;&lt;keyword&gt;battery circularity&lt;/keyword&gt;&lt;keyword&gt;battery second life&lt;/keyword&gt;&lt;keyword&gt;circular business model innovation&lt;/keyword&gt;&lt;keyword&gt;climate-neutrality&lt;/keyword&gt;&lt;keyword&gt;EV batteries&lt;/keyword&gt;&lt;keyword&gt;EV battery ecosystem&lt;/keyword&gt;&lt;keyword&gt;second-life business models&lt;/keyword&gt;&lt;keyword&gt;second-life EV batteries&lt;/keyword&gt;&lt;/keywords&gt;&lt;dates&gt;&lt;year&gt;2024&lt;/year&gt;&lt;pub-dates&gt;&lt;date&gt;2024/12/01&lt;/date&gt;&lt;/pub-dates&gt;&lt;/dates&gt;&lt;publisher&gt;John Wiley &amp;amp; Sons, Ltd&lt;/publisher&gt;&lt;isbn&gt;0964-4733&lt;/isbn&gt;&lt;urls&gt;&lt;related-urls&gt;&lt;url&gt;https://doi.org/10.1002/bse.3941&lt;/url&gt;&lt;/related-urls&gt;&lt;/urls&gt;&lt;electronic-resource-num&gt;https://doi.org/10.1002/bse.3941&lt;/electronic-resource-num&gt;&lt;access-date&gt;2026/02/16&lt;/access-date&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Toorajipour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and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AuthorYear="1"&gt;&lt;Author&gt;Silvestre&lt;/Author&gt;&lt;Year&gt;2015&lt;/Year&gt;&lt;RecNum&gt;26&lt;/RecNum&gt;&lt;DisplayText&gt;Silvestre (2015)&lt;/DisplayText&gt;&lt;record&gt;&lt;rec-number&gt;26&lt;/rec-number&gt;&lt;foreign-keys&gt;&lt;key app="EN" db-id="2e950ez96eprpyeafx65vzz4a29z2ew5dxa0" timestamp="1771246319"&gt;26&lt;/key&gt;&lt;/foreign-keys&gt;&lt;ref-type name="Journal Article"&gt;17&lt;/ref-type&gt;&lt;contributors&gt;&lt;authors&gt;&lt;author&gt;Silvestre, Bruno S.&lt;/author&gt;&lt;/authors&gt;&lt;/contributors&gt;&lt;titles&gt;&lt;title&gt;Sustainable supply chain management in emerging economies: Environmental turbulence, institutional voids and sustainability trajectories&lt;/title&gt;&lt;secondary-title&gt;International Journal of Production Economics&lt;/secondary-title&gt;&lt;/titles&gt;&lt;periodical&gt;&lt;full-title&gt;International Journal of Production Economics&lt;/full-title&gt;&lt;/periodical&gt;&lt;pages&gt;156-169&lt;/pages&gt;&lt;volume&gt;167&lt;/volume&gt;&lt;keywords&gt;&lt;keyword&gt;Sustainable supply chains&lt;/keyword&gt;&lt;keyword&gt;Environmental turbulence&lt;/keyword&gt;&lt;keyword&gt;Institutional voids&lt;/keyword&gt;&lt;keyword&gt;Extreme ambiguity&lt;/keyword&gt;&lt;keyword&gt;Innovation&lt;/keyword&gt;&lt;keyword&gt;Supply chain learning loops&lt;/keyword&gt;&lt;keyword&gt;Supply chain sustainability trajectories&lt;/keyword&gt;&lt;keyword&gt;Emerging economies&lt;/keyword&gt;&lt;/keywords&gt;&lt;dates&gt;&lt;year&gt;2015&lt;/year&gt;&lt;pub-dates&gt;&lt;date&gt;2015/09/01/&lt;/date&gt;&lt;/pub-dates&gt;&lt;/dates&gt;&lt;isbn&gt;0925-5273&lt;/isbn&gt;&lt;urls&gt;&lt;related-urls&gt;&lt;url&gt;https://www.sciencedirect.com/science/article/pii/S0925527315001772&lt;/url&gt;&lt;/related-urls&gt;&lt;/urls&gt;&lt;electronic-resource-num&gt;https://doi.org/10.1016/j.ijpe.2015.05.025&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Silvestre (2015)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Moreover, risks associated with informal-sector operations, such as </w:t>
      </w:r>
      <w:r w:rsidRPr="00733BEB">
        <w:rPr>
          <w:rFonts w:ascii="Times New Roman" w:hAnsi="Times New Roman" w:cs="Times New Roman"/>
          <w:bCs/>
          <w:sz w:val="24"/>
          <w:szCs w:val="24"/>
        </w:rPr>
        <w:t>CP1 (unsafe dismantling practices)</w:t>
      </w:r>
      <w:r w:rsidRPr="00733BEB">
        <w:rPr>
          <w:rFonts w:ascii="Times New Roman" w:hAnsi="Times New Roman" w:cs="Times New Roman"/>
          <w:sz w:val="24"/>
          <w:szCs w:val="24"/>
        </w:rPr>
        <w:t xml:space="preserve"> and </w:t>
      </w:r>
      <w:r w:rsidRPr="00733BEB">
        <w:rPr>
          <w:rFonts w:ascii="Times New Roman" w:hAnsi="Times New Roman" w:cs="Times New Roman"/>
          <w:bCs/>
          <w:sz w:val="24"/>
          <w:szCs w:val="24"/>
        </w:rPr>
        <w:t>EN2 (improper end-of-life disposal)</w:t>
      </w:r>
      <w:r w:rsidRPr="00733BEB">
        <w:rPr>
          <w:rFonts w:ascii="Times New Roman" w:hAnsi="Times New Roman" w:cs="Times New Roman"/>
          <w:sz w:val="24"/>
          <w:szCs w:val="24"/>
        </w:rPr>
        <w:t xml:space="preserve">, rank highly due to their severity and low detectability, reinforcing arguments that </w:t>
      </w:r>
      <w:r w:rsidRPr="00733BEB">
        <w:rPr>
          <w:rFonts w:ascii="Times New Roman" w:hAnsi="Times New Roman" w:cs="Times New Roman"/>
          <w:bCs/>
          <w:sz w:val="24"/>
          <w:szCs w:val="24"/>
        </w:rPr>
        <w:t>limited monitoring capacity and institutional voids amplify sustainability risks</w:t>
      </w:r>
      <w:r w:rsidRPr="00733BEB">
        <w:rPr>
          <w:rFonts w:ascii="Times New Roman" w:hAnsi="Times New Roman" w:cs="Times New Roman"/>
          <w:sz w:val="24"/>
          <w:szCs w:val="24"/>
        </w:rPr>
        <w:t xml:space="preserve"> even when occurrence frequency is moderate (e.g.,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AuthorYear="1"&gt;&lt;Author&gt;Silvestre&lt;/Author&gt;&lt;Year&gt;2015&lt;/Year&gt;&lt;RecNum&gt;26&lt;/RecNum&gt;&lt;DisplayText&gt;Silvestre (2015)&lt;/DisplayText&gt;&lt;record&gt;&lt;rec-number&gt;26&lt;/rec-number&gt;&lt;foreign-keys&gt;&lt;key app="EN" db-id="2e950ez96eprpyeafx65vzz4a29z2ew5dxa0" timestamp="1771246319"&gt;26&lt;/key&gt;&lt;/foreign-keys&gt;&lt;ref-type name="Journal Article"&gt;17&lt;/ref-type&gt;&lt;contributors&gt;&lt;authors&gt;&lt;author&gt;Silvestre, Bruno S.&lt;/author&gt;&lt;/authors&gt;&lt;/contributors&gt;&lt;titles&gt;&lt;title&gt;Sustainable supply chain management in emerging economies: Environmental turbulence, institutional voids and sustainability trajectories&lt;/title&gt;&lt;secondary-title&gt;International Journal of Production Economics&lt;/secondary-title&gt;&lt;/titles&gt;&lt;periodical&gt;&lt;full-title&gt;International Journal of Production Economics&lt;/full-title&gt;&lt;/periodical&gt;&lt;pages&gt;156-169&lt;/pages&gt;&lt;volume&gt;167&lt;/volume&gt;&lt;keywords&gt;&lt;keyword&gt;Sustainable supply chains&lt;/keyword&gt;&lt;keyword&gt;Environmental turbulence&lt;/keyword&gt;&lt;keyword&gt;Institutional voids&lt;/keyword&gt;&lt;keyword&gt;Extreme ambiguity&lt;/keyword&gt;&lt;keyword&gt;Innovation&lt;/keyword&gt;&lt;keyword&gt;Supply chain learning loops&lt;/keyword&gt;&lt;keyword&gt;Supply chain sustainability trajectories&lt;/keyword&gt;&lt;keyword&gt;Emerging economies&lt;/keyword&gt;&lt;/keywords&gt;&lt;dates&gt;&lt;year&gt;2015&lt;/year&gt;&lt;pub-dates&gt;&lt;date&gt;2015/09/01/&lt;/date&gt;&lt;/pub-dates&gt;&lt;/dates&gt;&lt;isbn&gt;0925-5273&lt;/isbn&gt;&lt;urls&gt;&lt;related-urls&gt;&lt;url&gt;https://www.sciencedirect.com/science/article/pii/S0925527315001772&lt;/url&gt;&lt;/related-urls&gt;&lt;/urls&gt;&lt;electronic-resource-num&gt;https://doi.org/10.1016/j.ijpe.2015.05.025&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Silvestre (2015)</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and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 AuthorYear="1"&gt;&lt;Author&gt;Akram&lt;/Author&gt;&lt;Year&gt;2024&lt;/Year&gt;&lt;RecNum&gt;12&lt;/RecNum&gt;&lt;DisplayText&gt;Akram and Abdul-Kader (2024)&lt;/DisplayText&gt;&lt;record&gt;&lt;rec-number&gt;12&lt;/rec-number&gt;&lt;foreign-keys&gt;&lt;key app="EN" db-id="2e950ez96eprpyeafx65vzz4a29z2ew5dxa0" timestamp="1770989490"&gt;12&lt;/key&gt;&lt;/foreign-keys&gt;&lt;ref-type name="Electronic Article"&gt;43&lt;/ref-type&gt;&lt;contributors&gt;&lt;authors&gt;&lt;author&gt;Akram, Muhammad N.&lt;/author&gt;&lt;author&gt;Abdul-Kader, Walid&lt;/author&gt;&lt;/authors&gt;&lt;/contributors&gt;&lt;titles&gt;&lt;title&gt;Repurposing Second-Life EV Batteries to Advance Sustainable Development: A Comprehensive Review&lt;/title&gt;&lt;secondary-title&gt;Batteries&lt;/secondary-title&gt;&lt;/titles&gt;&lt;periodical&gt;&lt;full-title&gt;Batteries&lt;/full-title&gt;&lt;/periodical&gt;&lt;pages&gt;452&lt;/pages&gt;&lt;volume&gt;10&lt;/volume&gt;&lt;number&gt;12&lt;/number&gt;&lt;keywords&gt;&lt;keyword&gt;sustainable development goals&lt;/keyword&gt;&lt;keyword&gt;repurposing&lt;/keyword&gt;&lt;keyword&gt;second-life battery&lt;/keyword&gt;&lt;keyword&gt;stationary applications&lt;/keyword&gt;&lt;keyword&gt;environmental benefits&lt;/keyword&gt;&lt;keyword&gt;battery aging mechanism&lt;/keyword&gt;&lt;/keywords&gt;&lt;dates&gt;&lt;year&gt;2024&lt;/year&gt;&lt;/dates&gt;&lt;isbn&gt;2313-0105&lt;/isbn&gt;&lt;urls&gt;&lt;/urls&gt;&lt;electronic-resource-num&gt;10.3390/batteries10120452&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Akram and Abdul-Kader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Overall, these results demonstrate that effective circular decarbonization strategies must distinguish between </w:t>
      </w:r>
      <w:r w:rsidRPr="00733BEB">
        <w:rPr>
          <w:rFonts w:ascii="Times New Roman" w:hAnsi="Times New Roman" w:cs="Times New Roman"/>
          <w:bCs/>
          <w:sz w:val="24"/>
          <w:szCs w:val="24"/>
        </w:rPr>
        <w:t>structural governance failures requiring systemic policy intervention</w:t>
      </w:r>
      <w:r w:rsidRPr="00733BEB">
        <w:rPr>
          <w:rFonts w:ascii="Times New Roman" w:hAnsi="Times New Roman" w:cs="Times New Roman"/>
          <w:sz w:val="24"/>
          <w:szCs w:val="24"/>
        </w:rPr>
        <w:t xml:space="preserve"> and </w:t>
      </w:r>
      <w:r w:rsidRPr="00733BEB">
        <w:rPr>
          <w:rFonts w:ascii="Times New Roman" w:hAnsi="Times New Roman" w:cs="Times New Roman"/>
          <w:bCs/>
          <w:sz w:val="24"/>
          <w:szCs w:val="24"/>
        </w:rPr>
        <w:t>localized operational risks requiring targeted control measures</w:t>
      </w:r>
      <w:r w:rsidRPr="00733BEB">
        <w:rPr>
          <w:rFonts w:ascii="Times New Roman" w:hAnsi="Times New Roman" w:cs="Times New Roman"/>
          <w:sz w:val="24"/>
          <w:szCs w:val="24"/>
        </w:rPr>
        <w:t>, thereby avoiding fragmented or reactive risk management approaches, as widely cautioned in the circular supply-chain and risk-governance literature.</w:t>
      </w:r>
    </w:p>
    <w:p w14:paraId="500711E8" w14:textId="77777777" w:rsidR="002E0346" w:rsidRDefault="002E0346" w:rsidP="00C92E2F">
      <w:pPr>
        <w:spacing w:after="0" w:line="240" w:lineRule="auto"/>
        <w:ind w:firstLine="720"/>
        <w:jc w:val="both"/>
        <w:rPr>
          <w:rFonts w:ascii="Times New Roman" w:hAnsi="Times New Roman" w:cs="Times New Roman"/>
          <w:sz w:val="24"/>
          <w:szCs w:val="24"/>
        </w:rPr>
      </w:pPr>
    </w:p>
    <w:p w14:paraId="2D03822B" w14:textId="5C26C79C" w:rsidR="00C92E2F" w:rsidRPr="00733BEB" w:rsidRDefault="00C92E2F"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bCs/>
          <w:i/>
          <w:sz w:val="24"/>
          <w:szCs w:val="24"/>
        </w:rPr>
      </w:pPr>
      <w:r w:rsidRPr="00733BEB">
        <w:rPr>
          <w:rFonts w:ascii="Times New Roman" w:hAnsi="Times New Roman" w:cs="Times New Roman"/>
          <w:b/>
          <w:bCs/>
          <w:i/>
          <w:sz w:val="24"/>
          <w:szCs w:val="24"/>
        </w:rPr>
        <w:t>The Structural Position of Environmental Outcomes as Symptoms, Not Drivers</w:t>
      </w:r>
    </w:p>
    <w:p w14:paraId="7AA56995" w14:textId="77777777" w:rsidR="00C92E2F" w:rsidRPr="00733BEB" w:rsidRDefault="00C92E2F" w:rsidP="00C92E2F">
      <w:pPr>
        <w:spacing w:before="120" w:after="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The consistent positioning of environmental risks, carbon rebound effects (EN1) and delayed recycling emissions (EN2), at the bottom of the causal hierarchy, evidenced by their most negative net effect values, constitutes one of the most significant findings of this study. This structural pattern reveals a critical insight for sustainability governance: environmental degradation in second-life battery supply chains is best understood as a systemic symptom rather than an independent risk domain. The DEMATEL results demonstrate that environmental risks are almost entirely dependent on the functioning or malfunctioning of upstream system components. Carbon rebound effects do not emerge spontaneously but are the logical consequence of a cascade of prior failures: inaccurate state-of-health estimation leading to inappropriate application, unsafe </w:t>
      </w:r>
      <w:r w:rsidRPr="00733BEB">
        <w:rPr>
          <w:rFonts w:ascii="Times New Roman" w:hAnsi="Times New Roman" w:cs="Times New Roman"/>
          <w:sz w:val="24"/>
          <w:szCs w:val="24"/>
        </w:rPr>
        <w:lastRenderedPageBreak/>
        <w:t xml:space="preserve">dismantling practices causing cell damage and inefficiency, and weak enforcement allowing such practices to persist unchecked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&lt;EndNote&gt;&lt;Cite&gt;&lt;Author&gt;Haram&lt;/Author&gt;&lt;Year&gt;2021&lt;/Year&gt;&lt;RecNum&gt;45&lt;/RecNum&gt;&lt;DisplayText&gt;(Haram et al., 2021)&lt;/DisplayText&gt;&lt;record&gt;&lt;rec-number&gt;45&lt;/rec-number&gt;&lt;foreign-keys&gt;&lt;key app="EN" db-id="2e950ez96eprpyeafx65vzz4a29z2ew5dxa0" timestamp="1771324571"&gt;45&lt;/key&gt;&lt;/foreign-keys&gt;&lt;ref-type name="Journal Article"&gt;17&lt;/ref-type&gt;&lt;contributors&gt;&lt;authors&gt;&lt;author&gt;Haram, Mohammed Hussein Saleh Mohammed&lt;/author&gt;&lt;author&gt;Lee, Jia Woon&lt;/author&gt;&lt;author&gt;Ramasamy, Gobbi&lt;/author&gt;&lt;author&gt;Ngu, Eng Eng&lt;/author&gt;&lt;author&gt;Thiagarajah, Siva Priya&lt;/author&gt;&lt;author&gt;Lee, Yuen How&lt;/author&gt;&lt;/authors&gt;&lt;/contributors&gt;&lt;titles&gt;&lt;title&gt;Feasibility of utilising second life EV batteries: Applications, lifespan, economics, environmental impact, assessment, and challenges&lt;/title&gt;&lt;secondary-title&gt;Alexandria Engineering Journal&lt;/secondary-title&gt;&lt;/titles&gt;&lt;periodical&gt;&lt;full-title&gt;Alexandria Engineering Journal&lt;/full-title&gt;&lt;/periodical&gt;&lt;pages&gt;4517-4536&lt;/pages&gt;&lt;volume&gt;60&lt;/volume&gt;&lt;number&gt;5&lt;/number&gt;&lt;keywords&gt;&lt;keyword&gt;Second life EV batteries&lt;/keyword&gt;&lt;keyword&gt;Electric vehicles&lt;/keyword&gt;&lt;keyword&gt;Lithium-ion batteries&lt;/keyword&gt;&lt;keyword&gt;Energy storage system&lt;/keyword&gt;&lt;keyword&gt;SLB economic assessment&lt;/keyword&gt;&lt;keyword&gt;SLB environmental assessment&lt;/keyword&gt;&lt;/keywords&gt;&lt;dates&gt;&lt;year&gt;2021&lt;/year&gt;&lt;pub-dates&gt;&lt;date&gt;2021/10/01/&lt;/date&gt;&lt;/pub-dates&gt;&lt;/dates&gt;&lt;isbn&gt;1110-0168&lt;/isbn&gt;&lt;urls&gt;&lt;related-urls&gt;&lt;url&gt;https://www.sciencedirect.com/science/article/pii/S1110016821001757&lt;/url&gt;&lt;/related-urls&gt;&lt;/urls&gt;&lt;electronic-resource-num&gt;https://doi.org/10.1016/j.aej.2021.03.021&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(Haram et al., 2021)</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Similarly, delayed recycling emissions arise from governance fragmentation that fails to establish clear end-of-life responsibilities and from the absence of economic incentives that make timely recycling financially unattractive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&lt;EndNote&gt;&lt;Cite&gt;&lt;Author&gt;Tumu&lt;/Author&gt;&lt;Year&gt;2023&lt;/Year&gt;&lt;RecNum&gt;46&lt;/RecNum&gt;&lt;DisplayText&gt;(Tumu, Vorst, &amp;amp; Curtzwiler, 2023)&lt;/DisplayText&gt;&lt;record&gt;&lt;rec-number&gt;46&lt;/rec-number&gt;&lt;foreign-keys&gt;&lt;key app="EN" db-id="2e950ez96eprpyeafx65vzz4a29z2ew5dxa0" timestamp="1771324652"&gt;46&lt;/key&gt;&lt;/foreign-keys&gt;&lt;ref-type name="Journal Article"&gt;17&lt;/ref-type&gt;&lt;contributors&gt;&lt;authors&gt;&lt;author&gt;Tumu, Khairun&lt;/author&gt;&lt;author&gt;Vorst, Keith&lt;/author&gt;&lt;author&gt;Curtzwiler, Greg&lt;/author&gt;&lt;/authors&gt;&lt;/contributors&gt;&lt;titles&gt;&lt;title&gt;Global plastic waste recycling and extended producer responsibility laws&lt;/title&gt;&lt;secondary-title&gt;Journal of Environmental Management&lt;/secondary-title&gt;&lt;/titles&gt;&lt;periodical&gt;&lt;full-title&gt;Journal of Environmental Management&lt;/full-title&gt;&lt;/periodical&gt;&lt;pages&gt;119242&lt;/pages&gt;&lt;volume&gt;348&lt;/volume&gt;&lt;keywords&gt;&lt;keyword&gt;Plastics waste&lt;/keyword&gt;&lt;keyword&gt;Plastics recycling&lt;/keyword&gt;&lt;keyword&gt;Policy/legislation&lt;/keyword&gt;&lt;keyword&gt;Extended producer responsibility (EPR)&lt;/keyword&gt;&lt;keyword&gt;Solid waste management (SWM)&lt;/keyword&gt;&lt;/keywords&gt;&lt;dates&gt;&lt;year&gt;2023&lt;/year&gt;&lt;pub-dates&gt;&lt;date&gt;2023/12/15/&lt;/date&gt;&lt;/pub-dates&gt;&lt;/dates&gt;&lt;isbn&gt;0301-4797&lt;/isbn&gt;&lt;urls&gt;&lt;related-urls&gt;&lt;url&gt;https://www.sciencedirect.com/science/article/pii/S0301479723020303&lt;/url&gt;&lt;/related-urls&gt;&lt;/urls&gt;&lt;electronic-resource-num&gt;https://doi.org/10.1016/j.jenvman.2023.119242&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(Tumu, Vorst, &amp; Curtzwiler,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This finding strongly supports the conceptual framing that environmental performance is not a direct outcome of circular strategies but an emergent property arising from the interaction of technological, organizational, and institutional conditions. Research on informal e-waste recycling in Ghana similarly finds that environmental contamination is not an isolated phenomenon but rather an emergent consequence of unregulated profit-seeking behavior enabled by governance gaps (Finn et al., 2025). The causal structure revealed by DEMATEL, therefore, suggests that durable improvements in environmental performance can only be achieved by intervening in the governance and infrastructural factors that shape system behavior. Strengthening enforcement mechanisms, clarifying institutional responsibilities, and investing in diagnostic capacity are not merely administrative or technical improvements but constitute, in effect, decarbonization strategies that directly address the conditions giving rise to environmentally damaging outcomes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&lt;EndNote&gt;&lt;Cite&gt;&lt;Author&gt;Pan&lt;/Author&gt;&lt;Year&gt;2024&lt;/Year&gt;&lt;RecNum&gt;47&lt;/RecNum&gt;&lt;DisplayText&gt;(Pan, Du, Wu, &amp;amp; Liu, 2024)&lt;/DisplayText&gt;&lt;record&gt;&lt;rec-number&gt;47&lt;/rec-number&gt;&lt;foreign-keys&gt;&lt;key app="EN" db-id="2e950ez96eprpyeafx65vzz4a29z2ew5dxa0" timestamp="1771324731"&gt;47&lt;/key&gt;&lt;/foreign-keys&gt;&lt;ref-type name="Journal Article"&gt;17&lt;/ref-type&gt;&lt;contributors&gt;&lt;authors&gt;&lt;author&gt;Pan, Junyu&lt;/author&gt;&lt;author&gt;Du, Lizhao&lt;/author&gt;&lt;author&gt;Wu, Haitao&lt;/author&gt;&lt;author&gt;Liu, Xiaoqian&lt;/author&gt;&lt;/authors&gt;&lt;/contributors&gt;&lt;titles&gt;&lt;title&gt;Does environmental law enforcement supervision improve corporate carbon reduction performance? Evidence from environmental protection interview&lt;/title&gt;&lt;secondary-title&gt;Energy Economics&lt;/secondary-title&gt;&lt;/titles&gt;&lt;periodical&gt;&lt;full-title&gt;Energy Economics&lt;/full-title&gt;&lt;/periodical&gt;&lt;pages&gt;107441&lt;/pages&gt;&lt;volume&gt;132&lt;/volume&gt;&lt;keywords&gt;&lt;keyword&gt;Environmental law enforcement supervision&lt;/keyword&gt;&lt;keyword&gt;Environmental protection interview&lt;/keyword&gt;&lt;keyword&gt;Carbon reduction performance&lt;/keyword&gt;&lt;keyword&gt;Carbon neutral&lt;/keyword&gt;&lt;/keywords&gt;&lt;dates&gt;&lt;year&gt;2024&lt;/year&gt;&lt;pub-dates&gt;&lt;date&gt;2024/04/01/&lt;/date&gt;&lt;/pub-dates&gt;&lt;/dates&gt;&lt;isbn&gt;0140-9883&lt;/isbn&gt;&lt;urls&gt;&lt;related-urls&gt;&lt;url&gt;https://www.sciencedirect.com/science/article/pii/S014098832400149X&lt;/url&gt;&lt;/related-urls&gt;&lt;/urls&gt;&lt;electronic-resource-num&gt;https://doi.org/10.1016/j.eneco.2024.107441&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(Pan, Du, Wu, &amp; Liu,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w:t>
      </w:r>
    </w:p>
    <w:p w14:paraId="36D081A6" w14:textId="67C01079" w:rsidR="00C92E2F" w:rsidRPr="00733BEB" w:rsidRDefault="00C92E2F" w:rsidP="00C92E2F">
      <w:pPr>
        <w:spacing w:after="12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The low entropy weights assigned to environmental risks add another layer of interpretive significance. As established in entropy theory, low weight reflects high expert consensus, not low importance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&lt;EndNote&gt;&lt;Cite&gt;&lt;Author&gt;Shen&lt;/Author&gt;&lt;Year&gt;2018&lt;/Year&gt;&lt;RecNum&gt;23&lt;/RecNum&gt;&lt;DisplayText&gt;(Shen &amp;amp; Tzeng, 2018)&lt;/DisplayText&gt;&lt;record&gt;&lt;rec-number&gt;23&lt;/rec-number&gt;&lt;foreign-keys&gt;&lt;key app="EN" db-id="2e950ez96eprpyeafx65vzz4a29z2ew5dxa0" timestamp="1771245944"&gt;23&lt;/key&gt;&lt;/foreign-keys&gt;&lt;ref-type name="Electronic Article"&gt;43&lt;/ref-type&gt;&lt;contributors&gt;&lt;authors&gt;&lt;author&gt;Shen, Kao-Yi&lt;/author&gt;&lt;author&gt;Tzeng, Gwo-Hshiung&lt;/author&gt;&lt;/authors&gt;&lt;/contributors&gt;&lt;titles&gt;&lt;title&gt;Advances in Multiple Criteria Decision Making for Sustainability: Modeling and Applications&lt;/title&gt;&lt;secondary-title&gt;Sustainability&lt;/secondary-title&gt;&lt;/titles&gt;&lt;periodical&gt;&lt;full-title&gt;Sustainability&lt;/full-title&gt;&lt;/periodical&gt;&lt;pages&gt;1600&lt;/pages&gt;&lt;volume&gt;10&lt;/volume&gt;&lt;number&gt;5&lt;/number&gt;&lt;keywords&gt;&lt;keyword&gt;sustainable development&lt;/keyword&gt;&lt;keyword&gt;multiple criteria decision making (MCDM)&lt;/keyword&gt;&lt;keyword&gt;problem-solving&lt;/keyword&gt;&lt;keyword&gt;optimization&lt;/keyword&gt;&lt;keyword&gt;decision aid&lt;/keyword&gt;&lt;keyword&gt;computational intelligence&lt;/keyword&gt;&lt;keyword&gt;machine learning (ML)&lt;/keyword&gt;&lt;keyword&gt;artificial intelligence (AI)&lt;/keyword&gt;&lt;keyword&gt;soft computing&lt;/keyword&gt;&lt;keyword&gt;fuzzy sets&lt;/keyword&gt;&lt;keyword&gt;rough set theory (RST)&lt;/keyword&gt;&lt;/keywords&gt;&lt;dates&gt;&lt;year&gt;2018&lt;/year&gt;&lt;/dates&gt;&lt;isbn&gt;2071-1050&lt;/isbn&gt;&lt;urls&gt;&lt;/urls&gt;&lt;electronic-resource-num&gt;10.3390/su10051600&lt;/electronic-resource-num&gt;&lt;/record&gt;&lt;/Cite&gt;&lt;/EndNote&gt;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(Shen &amp; Tzeng, 2018)</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The finding that experts exhibit minimal divergence in evaluating environmental risks suggests a shared and well-articulated understanding of these issues within the professional community, in stark contrast to the high divergence observed for technological and governance factors where expert opinions varied considerably. This informational pattern reveals a critical gap in current approaches to sustainable circular decarbonization. The risks that experts agree upon most strongly (environmental outcomes) are precisely those that are least actionable as independent intervention points because they are systemic symptoms. Conversely, the risks that generate the most disagreement and uncertainty, governance fragmentation, infrastructural deficits, enforcement capacity, are the very factors that DEMATEL identifies as causal drivers. Research on illegal lead battery recycling documents exactly this pattern: despite widespread expert consensus on severe health and environmental consequences, policy attention remains fragmented and enforcement capacity under-resourced, allowing underlying drivers to persist </w:t>
      </w:r>
      <w:r w:rsidRPr="00733BEB">
        <w:rPr>
          <w:rFonts w:ascii="Times New Roman" w:hAnsi="Times New Roman" w:cs="Times New Roman"/>
          <w:sz w:val="24"/>
          <w:szCs w:val="24"/>
        </w:rPr>
        <w:fldChar w:fldCharType="begin"/>
      </w:r>
      <w:r w:rsidR="00AE57D3">
        <w:rPr>
          <w:rFonts w:ascii="Times New Roman" w:hAnsi="Times New Roman" w:cs="Times New Roman"/>
          <w:sz w:val="24"/>
          <w:szCs w:val="24"/>
        </w:rPr>
        <w:instrText xml:space="preserve"> ADDIN EN.CITE &lt;EndNote&gt;&lt;Cite&gt;&lt;Author&gt;Haryanto&lt;/Author&gt;&lt;Year&gt;2016&lt;/Year&gt;&lt;RecNum&gt;48&lt;/RecNum&gt;&lt;DisplayText&gt;(Haryanto, 2016)&lt;/DisplayText&gt;&lt;record&gt;&lt;rec-number&gt;48&lt;/rec-number&gt;&lt;foreign-keys&gt;&lt;key app="EN" db-id="2e950ez96eprpyeafx65vzz4a29z2ew5dxa0" timestamp="1771324884"&gt;48&lt;/key&gt;&lt;/foreign-keys&gt;&lt;ref-type name="Journal Article"&gt;17&lt;/ref-type&gt;&lt;contributors&gt;&lt;authors&gt;&lt;author&gt;Haryanto, B.&lt;/author&gt;&lt;/authors&gt;&lt;/contributors&gt;&lt;titles&gt;&lt;title&gt;Lead exposure from battery recycling in Indonesia&lt;/title&gt;&lt;secondary-title&gt;Rev Environ Health&lt;/secondary-title&gt;&lt;/titles&gt;&lt;periodical&gt;&lt;full-title&gt;Rev Environ Health&lt;/full-title&gt;&lt;/periodical&gt;&lt;pages&gt;13-6&lt;/pages&gt;&lt;volume&gt;31&lt;/volume&gt;&lt;number&gt;1&lt;/number&gt;&lt;edition&gt;2016/01/27&lt;/edition&gt;&lt;keywords&gt;&lt;keyword&gt;Adolescent&lt;/keyword&gt;&lt;keyword&gt;Adult&lt;/keyword&gt;&lt;keyword&gt;Aged&lt;/keyword&gt;&lt;keyword&gt;Child&lt;/keyword&gt;&lt;keyword&gt;Environmental Exposure&lt;/keyword&gt;&lt;keyword&gt;Female&lt;/keyword&gt;&lt;keyword&gt;Humans&lt;/keyword&gt;&lt;keyword&gt;Indonesia/epidemiology&lt;/keyword&gt;&lt;keyword&gt;Lead/ toxicity&lt;/keyword&gt;&lt;keyword&gt;Lead Poisoning/ epidemiology/etiology&lt;/keyword&gt;&lt;keyword&gt;Male&lt;/keyword&gt;&lt;keyword&gt;Middle Aged&lt;/keyword&gt;&lt;keyword&gt;Occupational Exposure&lt;/keyword&gt;&lt;keyword&gt;Public Health&lt;/keyword&gt;&lt;keyword&gt;Recycling&lt;/keyword&gt;&lt;keyword&gt;Young Adult&lt;/keyword&gt;&lt;/keywords&gt;&lt;dates&gt;&lt;year&gt;2016&lt;/year&gt;&lt;pub-dates&gt;&lt;date&gt;Mar&lt;/date&gt;&lt;/pub-dates&gt;&lt;/dates&gt;&lt;isbn&gt;2191-0308 (Electronic)&amp;#xD;0048-7554 (Linking)&lt;/isbn&gt;&lt;accession-num&gt;26812760&lt;/accession-num&gt;&lt;urls&gt;&lt;/urls&gt;&lt;electronic-resource-num&gt;10.1515/reveh-2015-0036&lt;/electronic-resource-num&gt;&lt;remote-database-provider&gt;NLM&lt;/remote-database-provider&gt;&lt;language&gt;eng&lt;/language&gt;&lt;/record&gt;&lt;/Cite&gt;&lt;/EndNote&gt;</w:instrText>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(Haryanto, 2016)</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There is a danger that the visibility and intuitive appeal of environmental outcomes may lead stakeholders to focus on managing these symptoms while the more complex, contested, and causally fundamental governance issues remain under addressed.</w:t>
      </w:r>
    </w:p>
    <w:p w14:paraId="780A9531" w14:textId="4B01479D" w:rsidR="00C92E2F" w:rsidRPr="00733BEB" w:rsidRDefault="00C92E2F"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bCs/>
          <w:i/>
          <w:sz w:val="24"/>
          <w:szCs w:val="24"/>
        </w:rPr>
      </w:pPr>
      <w:r w:rsidRPr="00733BEB">
        <w:rPr>
          <w:rFonts w:ascii="Times New Roman" w:hAnsi="Times New Roman" w:cs="Times New Roman"/>
          <w:b/>
          <w:bCs/>
          <w:i/>
          <w:sz w:val="24"/>
          <w:szCs w:val="24"/>
        </w:rPr>
        <w:t>Configuring Intervention Pathways for Sustainable Circular Decarbonization Through</w:t>
      </w:r>
      <w:r w:rsidR="002E0346">
        <w:rPr>
          <w:rFonts w:ascii="Times New Roman" w:hAnsi="Times New Roman" w:cs="Times New Roman"/>
          <w:b/>
          <w:bCs/>
          <w:i/>
          <w:sz w:val="24"/>
          <w:szCs w:val="24"/>
        </w:rPr>
        <w:t xml:space="preserve"> </w:t>
      </w:r>
      <w:r w:rsidRPr="00733BEB">
        <w:rPr>
          <w:rFonts w:ascii="Times New Roman" w:hAnsi="Times New Roman" w:cs="Times New Roman"/>
          <w:b/>
          <w:bCs/>
          <w:i/>
          <w:sz w:val="24"/>
          <w:szCs w:val="24"/>
        </w:rPr>
        <w:t>Integrated Risk Prioritization</w:t>
      </w:r>
    </w:p>
    <w:p w14:paraId="490A7B7A" w14:textId="77777777" w:rsidR="00C92E2F" w:rsidRPr="00733BEB" w:rsidRDefault="00C92E2F" w:rsidP="00C92E2F">
      <w:pPr>
        <w:spacing w:after="0" w:line="240" w:lineRule="auto"/>
        <w:jc w:val="both"/>
        <w:rPr>
          <w:rFonts w:ascii="Times New Roman" w:hAnsi="Times New Roman" w:cs="Times New Roman"/>
          <w:sz w:val="24"/>
          <w:szCs w:val="24"/>
        </w:rPr>
      </w:pPr>
      <w:r w:rsidRPr="00733BEB">
        <w:rPr>
          <w:rFonts w:ascii="Times New Roman" w:hAnsi="Times New Roman" w:cs="Times New Roman"/>
          <w:sz w:val="24"/>
          <w:szCs w:val="24"/>
        </w:rPr>
        <w:t xml:space="preserve">The synthesis of Entropy weights, DEMATEL causal mapping, and FMEA operational scoring provides a robust foundation for prioritizing interventions and configuring actionable pathways toward sustainable circular decarbonization in emerging-economy second-life EV battery supply chains. This integrated approach reveals three distinct categories of intervention priority that collectively shape the configuration of effective decarbonization pathways. The first category comprises primary causal drivers, governance fragmentation (GR1), weak enforcement of standards (GR3), and limited diagnostic infrastructure (TR4), which DEMATEL identifies as having the greatest systemic influence. These factors represent foundational intervention points where targeted actions can generate multiplier effects throughout the system. Strengthening enforcement mechanisms and clarifying institutional responsibilities addresses the root cause of </w:t>
      </w:r>
      <w:r w:rsidRPr="00733BEB">
        <w:rPr>
          <w:rFonts w:ascii="Times New Roman" w:hAnsi="Times New Roman" w:cs="Times New Roman"/>
          <w:sz w:val="24"/>
          <w:szCs w:val="24"/>
        </w:rPr>
        <w:lastRenderedPageBreak/>
        <w:t xml:space="preserve">multiple downstream failures, from unsafe informal practices to carbon rebound effects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&lt;EndNote&gt;&lt;Cite&gt;&lt;Author&gt;Wei&lt;/Author&gt;&lt;Year&gt;2022&lt;/Year&gt;&lt;RecNum&gt;49&lt;/RecNum&gt;&lt;DisplayText&gt;(Wei, Wang, &amp;amp; Li, 2022)&lt;/DisplayText&gt;&lt;record&gt;&lt;rec-number&gt;49&lt;/rec-number&gt;&lt;foreign-keys&gt;&lt;key app="EN" db-id="2e950ez96eprpyeafx65vzz4a29z2ew5dxa0" timestamp="1771325686"&gt;49&lt;/key&gt;&lt;/foreign-keys&gt;&lt;ref-type name="Journal Article"&gt;17&lt;/ref-type&gt;&lt;contributors&gt;&lt;authors&gt;&lt;author&gt;Wei,Lang&lt;/author&gt;&lt;author&gt;Wang,Cuixia&lt;/author&gt;&lt;author&gt;Li,Yaqin&lt;/author&gt;&lt;/authors&gt;&lt;/contributors&gt;&lt;titles&gt;&lt;title&gt;Governance strategies for end-of-life electric vehicle battery recycling in China: A tripartite evolutionary game analysis&lt;/title&gt;&lt;secondary-title&gt;Frontiers in Environmental Science&lt;/secondary-title&gt;&lt;short-title&gt;End-of-life electric vehicle batteries recycling&lt;/short-title&gt;&lt;/titles&gt;&lt;periodical&gt;&lt;full-title&gt;Frontiers in Environmental Science&lt;/full-title&gt;&lt;/periodical&gt;&lt;volume&gt;Volume 10 - 2022&lt;/volume&gt;&lt;keywords&gt;&lt;keyword&gt;Governance strategies,evolutionary game,electric vehicle (EV),Batteries recycling,EOL EV batteries&lt;/keyword&gt;&lt;/keywords&gt;&lt;dates&gt;&lt;year&gt;2022&lt;/year&gt;&lt;pub-dates&gt;&lt;date&gt;2022-December-13&lt;/date&gt;&lt;/pub-dates&gt;&lt;/dates&gt;&lt;isbn&gt;2296-665X&lt;/isbn&gt;&lt;work-type&gt;Original Research&lt;/work-type&gt;&lt;urls&gt;&lt;related-urls&gt;&lt;url&gt;https://www.frontiersin.org/journals/environmental-science/articles/10.3389/fenvs.2022.1071688&lt;/url&gt;&lt;/related-urls&gt;&lt;/urls&gt;&lt;electronic-resource-num&gt;10.3389/fenvs.2022.1071688&lt;/electronic-resource-num&gt;&lt;language&gt;English&lt;/language&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(Wei, Wang, &amp; Li, 2022)</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Similarly, investment in diagnostic infrastructure directly enables accurate state-of-health assessment, reducing the uncertainty that propagates through repurposing and end-of-life stages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&lt;EndNote&gt;&lt;Cite&gt;&lt;Author&gt;Salek&lt;/Author&gt;&lt;Year&gt;2024&lt;/Year&gt;&lt;RecNum&gt;35&lt;/RecNum&gt;&lt;DisplayText&gt;(Salek et al., 2024)&lt;/DisplayText&gt;&lt;record&gt;&lt;rec-number&gt;35&lt;/rec-number&gt;&lt;foreign-keys&gt;&lt;key app="EN" db-id="2e950ez96eprpyeafx65vzz4a29z2ew5dxa0" timestamp="1771316527"&gt;35&lt;/key&gt;&lt;/foreign-keys&gt;&lt;ref-type name="Electronic Article"&gt;43&lt;/ref-type&gt;&lt;contributors&gt;&lt;authors&gt;&lt;author&gt;Salek, Farhad&lt;/author&gt;&lt;author&gt;Resalati, Shahaboddin&lt;/author&gt;&lt;author&gt;Babaie, Meisam&lt;/author&gt;&lt;author&gt;Henshall, Paul&lt;/author&gt;&lt;author&gt;Morrey, Denise&lt;/author&gt;&lt;author&gt;Yao, Lei&lt;/author&gt;&lt;/authors&gt;&lt;/contributors&gt;&lt;titles&gt;&lt;title&gt;A Review of the Technical Challenges and Solutions in Maximising the Potential Use of Second Life Batteries from Electric Vehicles&lt;/title&gt;&lt;secondary-title&gt;Batteries&lt;/secondary-title&gt;&lt;/titles&gt;&lt;periodical&gt;&lt;full-title&gt;Batteries&lt;/full-title&gt;&lt;/periodical&gt;&lt;pages&gt;79&lt;/pages&gt;&lt;volume&gt;10&lt;/volume&gt;&lt;number&gt;3&lt;/number&gt;&lt;keywords&gt;&lt;keyword&gt;electric vehicles&lt;/keyword&gt;&lt;keyword&gt;state of health&lt;/keyword&gt;&lt;keyword&gt;stationary applications&lt;/keyword&gt;&lt;keyword&gt;second life&lt;/keyword&gt;&lt;keyword&gt;battery-management system&lt;/keyword&gt;&lt;/keywords&gt;&lt;dates&gt;&lt;year&gt;2024&lt;/year&gt;&lt;/dates&gt;&lt;isbn&gt;2313-0105&lt;/isbn&gt;&lt;urls&gt;&lt;/urls&gt;&lt;electronic-resource-num&gt;10.3390/batteries10030079&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(Salek et al., 2024)</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Interventions targeting these primary drivers constitute structural decarbonization pathways, systemic reforms that reconfigure the underlying incentive architecture within which circular battery value chains operate.</w:t>
      </w:r>
    </w:p>
    <w:p w14:paraId="322FC8C5" w14:textId="0713086C" w:rsidR="00C92E2F" w:rsidRDefault="00C92E2F" w:rsidP="00C92E2F">
      <w:pPr>
        <w:spacing w:after="120" w:line="240" w:lineRule="auto"/>
        <w:ind w:firstLine="720"/>
        <w:jc w:val="both"/>
        <w:rPr>
          <w:rFonts w:ascii="Times New Roman" w:hAnsi="Times New Roman" w:cs="Times New Roman"/>
          <w:sz w:val="24"/>
          <w:szCs w:val="24"/>
        </w:rPr>
      </w:pPr>
      <w:r w:rsidRPr="00733BEB">
        <w:rPr>
          <w:rFonts w:ascii="Times New Roman" w:hAnsi="Times New Roman" w:cs="Times New Roman"/>
          <w:sz w:val="24"/>
          <w:szCs w:val="24"/>
        </w:rPr>
        <w:t xml:space="preserve">The second intervention category addresses secondary causal enablers, lack of technical standards (CP3) and policy inconsistency (GR2), which moderate the translation of foundational conditions into operational outcomes. Standardization of testing protocols reduces informational asymmetries that currently disadvantage formal actors relative to informal operators </w:t>
      </w:r>
      <w:r w:rsidRPr="00733BEB">
        <w:rPr>
          <w:rFonts w:ascii="Times New Roman" w:hAnsi="Times New Roman" w:cs="Times New Roman"/>
          <w:sz w:val="24"/>
          <w:szCs w:val="24"/>
        </w:rPr>
        <w:fldChar w:fldCharType="begin">
          <w:fldData xml:space="preserve">PEVuZE5vdGU+PENpdGU+PEF1dGhvcj5JcWJhbDwvQXV0aG9yPjxZZWFyPjIwMjM8L1llYXI+PFJl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</w:fldData>
        </w:fldChar>
      </w:r>
      <w:r w:rsidR="00AE57D3">
        <w:rPr>
          <w:rFonts w:ascii="Times New Roman" w:hAnsi="Times New Roman" w:cs="Times New Roman"/>
          <w:sz w:val="24"/>
          <w:szCs w:val="24"/>
        </w:rPr>
        <w:instrText xml:space="preserve"> ADDIN EN.CITE </w:instrText>
      </w:r>
      <w:r w:rsidR="00AE57D3">
        <w:rPr>
          <w:rFonts w:ascii="Times New Roman" w:hAnsi="Times New Roman" w:cs="Times New Roman"/>
          <w:sz w:val="24"/>
          <w:szCs w:val="24"/>
        </w:rPr>
        <w:fldChar w:fldCharType="begin">
          <w:fldData xml:space="preserve">PEVuZE5vdGU+PENpdGU+PEF1dGhvcj5JcWJhbDwvQXV0aG9yPjxZZWFyPjIwMjM8L1llYXI+PFJl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</w:fldData>
        </w:fldChar>
      </w:r>
      <w:r w:rsidR="00AE57D3">
        <w:rPr>
          <w:rFonts w:ascii="Times New Roman" w:hAnsi="Times New Roman" w:cs="Times New Roman"/>
          <w:sz w:val="24"/>
          <w:szCs w:val="24"/>
        </w:rPr>
        <w:instrText xml:space="preserve"> ADDIN EN.CITE.DATA </w:instrText>
      </w:r>
      <w:r w:rsidR="00AE57D3">
        <w:rPr>
          <w:rFonts w:ascii="Times New Roman" w:hAnsi="Times New Roman" w:cs="Times New Roman"/>
          <w:sz w:val="24"/>
          <w:szCs w:val="24"/>
        </w:rPr>
      </w:r>
      <w:r w:rsidR="00AE57D3">
        <w:rPr>
          <w:rFonts w:ascii="Times New Roman" w:hAnsi="Times New Roman" w:cs="Times New Roman"/>
          <w:sz w:val="24"/>
          <w:szCs w:val="24"/>
        </w:rPr>
        <w:fldChar w:fldCharType="end"/>
      </w:r>
      <w:r w:rsidRPr="00733BEB">
        <w:rPr>
          <w:rFonts w:ascii="Times New Roman" w:hAnsi="Times New Roman" w:cs="Times New Roman"/>
          <w:sz w:val="24"/>
          <w:szCs w:val="24"/>
        </w:rPr>
      </w:r>
      <w:r w:rsidRPr="00733BEB">
        <w:rPr>
          <w:rFonts w:ascii="Times New Roman" w:hAnsi="Times New Roman" w:cs="Times New Roman"/>
          <w:sz w:val="24"/>
          <w:szCs w:val="24"/>
        </w:rPr>
        <w:fldChar w:fldCharType="separate"/>
      </w:r>
      <w:r w:rsidR="00AE57D3">
        <w:rPr>
          <w:rFonts w:ascii="Times New Roman" w:hAnsi="Times New Roman" w:cs="Times New Roman"/>
          <w:noProof/>
          <w:sz w:val="24"/>
          <w:szCs w:val="24"/>
        </w:rPr>
        <w:t>(Iqbal, Sarwar, Kirli, Shek, &amp; Kiprakis, 2023; Kebir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xml:space="preserve">. The third category encompasses effect-type risks, including inaccurate state-of-health estimation (TR1), reverse logistics inefficiency (CP1), and all economic and environmental risks (EC1-EC3, EN1-EN2), which manifest as symptoms of upstream deficiencies. While these risks may exhibit high FMEA severity, interventions targeting them in isolation risk treating symptoms while leaving causes undisturbed. The critical insight is that effective intervention pathways must be configured hierarchically: foundational governance and infrastructural investments create enabling conditions within which secondary standardization efforts can succeed, which in turn render symptomatic risks more amenable to direct management </w:t>
      </w:r>
      <w:r w:rsidRPr="00733BEB">
        <w:rPr>
          <w:rFonts w:ascii="Times New Roman" w:hAnsi="Times New Roman" w:cs="Times New Roman"/>
          <w:sz w:val="24"/>
          <w:szCs w:val="24"/>
        </w:rPr>
        <w:fldChar w:fldCharType="begin"/>
      </w:r>
      <w:r w:rsidRPr="00733BEB">
        <w:rPr>
          <w:rFonts w:ascii="Times New Roman" w:hAnsi="Times New Roman" w:cs="Times New Roman"/>
          <w:sz w:val="24"/>
          <w:szCs w:val="24"/>
        </w:rPr>
        <w:instrText xml:space="preserve"> ADDIN EN.CITE &lt;EndNote&gt;&lt;Cite&gt;&lt;Author&gt;Ribeiro da Silva&lt;/Author&gt;&lt;Year&gt;2023&lt;/Year&gt;&lt;RecNum&gt;21&lt;/RecNum&gt;&lt;DisplayText&gt;(Ribeiro da Silva et al., 2023)&lt;/DisplayText&gt;&lt;record&gt;&lt;rec-number&gt;21&lt;/rec-number&gt;&lt;foreign-keys&gt;&lt;key app="EN" db-id="2e950ez96eprpyeafx65vzz4a29z2ew5dxa0" timestamp="1771003857"&gt;21&lt;/key&gt;&lt;/foreign-keys&gt;&lt;ref-type name="Journal Article"&gt;17&lt;/ref-type&gt;&lt;contributors&gt;&lt;authors&gt;&lt;author&gt;Ribeiro da Silva, Elias&lt;/author&gt;&lt;author&gt;Lohmer, Jacob&lt;/author&gt;&lt;author&gt;Rohla, Michelle&lt;/author&gt;&lt;author&gt;Angelis, Jannis&lt;/author&gt;&lt;/authors&gt;&lt;/contributors&gt;&lt;titles&gt;&lt;title&gt;Unleashing the circular economy in the electric vehicle battery supply chain: A case study on data sharing and blockchain potential&lt;/title&gt;&lt;secondary-title&gt;Resources, Conservation and Recycling&lt;/secondary-title&gt;&lt;/titles&gt;&lt;periodical&gt;&lt;full-title&gt;Resources, Conservation and Recycling&lt;/full-title&gt;&lt;/periodical&gt;&lt;pages&gt;106969&lt;/pages&gt;&lt;volume&gt;193&lt;/volume&gt;&lt;keywords&gt;&lt;keyword&gt;Circular economy&lt;/keyword&gt;&lt;keyword&gt;Electric vehicle batteries&lt;/keyword&gt;&lt;keyword&gt;Blockchain technology&lt;/keyword&gt;&lt;keyword&gt;Sustainability&lt;/keyword&gt;&lt;keyword&gt;Supply chain management&lt;/keyword&gt;&lt;keyword&gt;Business ecosystem&lt;/keyword&gt;&lt;/keywords&gt;&lt;dates&gt;&lt;year&gt;2023&lt;/year&gt;&lt;pub-dates&gt;&lt;date&gt;2023/06/01/&lt;/date&gt;&lt;/pub-dates&gt;&lt;/dates&gt;&lt;isbn&gt;0921-3449&lt;/isbn&gt;&lt;urls&gt;&lt;related-urls&gt;&lt;url&gt;https://www.sciencedirect.com/science/article/pii/S0921344923001052&lt;/url&gt;&lt;/related-urls&gt;&lt;/urls&gt;&lt;electronic-resource-num&gt;https://doi.org/10.1016/j.resconrec.2023.106969&lt;/electronic-resource-num&gt;&lt;/record&gt;&lt;/Cite&gt;&lt;/EndNote&gt;</w:instrText>
      </w:r>
      <w:r w:rsidRPr="00733BEB">
        <w:rPr>
          <w:rFonts w:ascii="Times New Roman" w:hAnsi="Times New Roman" w:cs="Times New Roman"/>
          <w:sz w:val="24"/>
          <w:szCs w:val="24"/>
        </w:rPr>
        <w:fldChar w:fldCharType="separate"/>
      </w:r>
      <w:r w:rsidRPr="00733BEB">
        <w:rPr>
          <w:rFonts w:ascii="Times New Roman" w:hAnsi="Times New Roman" w:cs="Times New Roman"/>
          <w:noProof/>
          <w:sz w:val="24"/>
          <w:szCs w:val="24"/>
        </w:rPr>
        <w:t>(Ribeiro da Silva et al., 2023)</w:t>
      </w:r>
      <w:r w:rsidRPr="00733BEB">
        <w:rPr>
          <w:rFonts w:ascii="Times New Roman" w:hAnsi="Times New Roman" w:cs="Times New Roman"/>
          <w:sz w:val="24"/>
          <w:szCs w:val="24"/>
        </w:rPr>
        <w:fldChar w:fldCharType="end"/>
      </w:r>
      <w:r w:rsidRPr="00733BEB">
        <w:rPr>
          <w:rFonts w:ascii="Times New Roman" w:hAnsi="Times New Roman" w:cs="Times New Roman"/>
          <w:sz w:val="24"/>
          <w:szCs w:val="24"/>
        </w:rPr>
        <w:t>. By distinguishing between structural drivers, enabling conditions, and symptomatic manifestations, the integrated framework provides decision-makers with a strategic logic for sequencing interventions and allocating scarce resources to maximize sustainable circular decarbonization outcomes in institutionally constrained emerging economy contexts.</w:t>
      </w:r>
    </w:p>
    <w:p w14:paraId="2E1D16E1" w14:textId="0C7DBEF1" w:rsidR="00C92E2F" w:rsidRDefault="002E0346" w:rsidP="002E0346">
      <w:pPr>
        <w:pStyle w:val="ListParagraph"/>
        <w:numPr>
          <w:ilvl w:val="0"/>
          <w:numId w:val="2"/>
        </w:numPr>
        <w:tabs>
          <w:tab w:val="left" w:pos="360"/>
        </w:tabs>
        <w:spacing w:after="120" w:line="240" w:lineRule="auto"/>
        <w:ind w:hanging="720"/>
        <w:contextualSpacing w:val="0"/>
        <w:jc w:val="both"/>
        <w:rPr>
          <w:rFonts w:ascii="Times New Roman" w:hAnsi="Times New Roman" w:cs="Times New Roman"/>
          <w:b/>
          <w:bCs/>
          <w:i/>
          <w:sz w:val="24"/>
          <w:szCs w:val="24"/>
        </w:rPr>
      </w:pPr>
      <w:r>
        <w:rPr>
          <w:rFonts w:ascii="Times New Roman" w:hAnsi="Times New Roman" w:cs="Times New Roman"/>
          <w:b/>
          <w:bCs/>
          <w:i/>
          <w:sz w:val="24"/>
          <w:szCs w:val="24"/>
        </w:rPr>
        <w:t>Dynamic Simulation</w:t>
      </w:r>
    </w:p>
    <w:p w14:paraId="23AFD81C" w14:textId="1D99F2DD" w:rsidR="002E0346" w:rsidRDefault="002E0346" w:rsidP="002E0346">
      <w:pPr>
        <w:spacing w:after="12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Dynamic simulation data and others detailed supported data is provided in this link: </w:t>
      </w:r>
      <w:hyperlink r:id="rId6" w:history="1">
        <w:r w:rsidR="00DA6D9C" w:rsidRPr="001B1B77">
          <w:rPr>
            <w:rStyle w:val="Hyperlink"/>
            <w:rFonts w:ascii="Times New Roman" w:hAnsi="Times New Roman" w:cs="Times New Roman"/>
            <w:iCs/>
            <w:sz w:val="24"/>
            <w:szCs w:val="24"/>
          </w:rPr>
          <w:t>https://github.com/Alfarisi006/EV-Dynamic-Risk-based</w:t>
        </w:r>
      </w:hyperlink>
      <w:r>
        <w:rPr>
          <w:rFonts w:ascii="Times New Roman" w:hAnsi="Times New Roman" w:cs="Times New Roman"/>
          <w:iCs/>
          <w:sz w:val="24"/>
          <w:szCs w:val="24"/>
        </w:rPr>
        <w:t>.</w:t>
      </w:r>
    </w:p>
    <w:p w14:paraId="321AE80B" w14:textId="77777777" w:rsidR="00DA6D9C" w:rsidRDefault="00DA6D9C" w:rsidP="002E0346">
      <w:pPr>
        <w:spacing w:after="120" w:line="240" w:lineRule="auto"/>
        <w:jc w:val="both"/>
        <w:rPr>
          <w:rFonts w:ascii="Times New Roman" w:hAnsi="Times New Roman" w:cs="Times New Roman"/>
          <w:iCs/>
          <w:sz w:val="24"/>
          <w:szCs w:val="24"/>
        </w:rPr>
      </w:pPr>
    </w:p>
    <w:p w14:paraId="3CE03BE0" w14:textId="672E1DF7" w:rsidR="00DA6D9C" w:rsidRPr="00DA6D9C" w:rsidRDefault="00DA6D9C" w:rsidP="002E0346">
      <w:pPr>
        <w:spacing w:after="120" w:line="240" w:lineRule="auto"/>
        <w:jc w:val="both"/>
        <w:rPr>
          <w:rFonts w:ascii="Times New Roman" w:hAnsi="Times New Roman" w:cs="Times New Roman"/>
          <w:b/>
          <w:bCs/>
          <w:i/>
          <w:sz w:val="24"/>
          <w:szCs w:val="24"/>
        </w:rPr>
      </w:pPr>
      <w:r w:rsidRPr="00DA6D9C">
        <w:rPr>
          <w:rFonts w:ascii="Times New Roman" w:hAnsi="Times New Roman" w:cs="Times New Roman"/>
          <w:b/>
          <w:bCs/>
          <w:i/>
          <w:sz w:val="24"/>
          <w:szCs w:val="24"/>
        </w:rPr>
        <w:t>Reference</w:t>
      </w:r>
    </w:p>
    <w:p w14:paraId="7FD70A8B" w14:textId="39EF218B"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fldChar w:fldCharType="begin"/>
      </w:r>
      <w:r w:rsidRPr="00AE57D3">
        <w:rPr>
          <w:rFonts w:ascii="Times New Roman" w:hAnsi="Times New Roman" w:cs="Times New Roman"/>
          <w:sz w:val="24"/>
          <w:szCs w:val="24"/>
        </w:rPr>
        <w:instrText xml:space="preserve"> ADDIN EN.REFLIST </w:instrText>
      </w:r>
      <w:r w:rsidRPr="00AE57D3">
        <w:rPr>
          <w:rFonts w:ascii="Times New Roman" w:hAnsi="Times New Roman" w:cs="Times New Roman"/>
          <w:sz w:val="24"/>
          <w:szCs w:val="24"/>
        </w:rPr>
        <w:fldChar w:fldCharType="separate"/>
      </w:r>
      <w:r w:rsidRPr="00AE57D3">
        <w:rPr>
          <w:rFonts w:ascii="Times New Roman" w:hAnsi="Times New Roman" w:cs="Times New Roman"/>
          <w:sz w:val="24"/>
          <w:szCs w:val="24"/>
        </w:rPr>
        <w:t xml:space="preserve">Abdisobbouhi, Y., Alahmad, Q., Kingston, T. A., &amp; Yurkiv, V. R. (2026). Towards the harmonization of safety testing standards for lithium-ion batteries: A review and call to action. </w:t>
      </w:r>
      <w:r w:rsidRPr="00AE57D3">
        <w:rPr>
          <w:rFonts w:ascii="Times New Roman" w:hAnsi="Times New Roman" w:cs="Times New Roman"/>
          <w:i/>
          <w:sz w:val="24"/>
          <w:szCs w:val="24"/>
        </w:rPr>
        <w:t>Renewable and Sustainable Energy Reviews, 226</w:t>
      </w:r>
      <w:r w:rsidRPr="00AE57D3">
        <w:rPr>
          <w:rFonts w:ascii="Times New Roman" w:hAnsi="Times New Roman" w:cs="Times New Roman"/>
          <w:sz w:val="24"/>
          <w:szCs w:val="24"/>
        </w:rPr>
        <w:t xml:space="preserve">, 116372. doi: </w:t>
      </w:r>
      <w:hyperlink r:id="rId7" w:history="1">
        <w:r w:rsidRPr="00AE57D3">
          <w:rPr>
            <w:rStyle w:val="Hyperlink"/>
            <w:rFonts w:ascii="Times New Roman" w:hAnsi="Times New Roman" w:cs="Times New Roman"/>
            <w:sz w:val="24"/>
            <w:szCs w:val="24"/>
          </w:rPr>
          <w:t>https://doi.org/10.1016/j.rser.2025.116372</w:t>
        </w:r>
      </w:hyperlink>
    </w:p>
    <w:p w14:paraId="165029B0"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Akram, M. N., &amp; Abdul-Kader, W. (2024). Repurposing Second-Life EV Batteries to Advance Sustainable Development: A Comprehensive Review. </w:t>
      </w:r>
      <w:r w:rsidRPr="00AE57D3">
        <w:rPr>
          <w:rFonts w:ascii="Times New Roman" w:hAnsi="Times New Roman" w:cs="Times New Roman"/>
          <w:i/>
          <w:sz w:val="24"/>
          <w:szCs w:val="24"/>
        </w:rPr>
        <w:t>Batteries, 10</w:t>
      </w:r>
      <w:r w:rsidRPr="00AE57D3">
        <w:rPr>
          <w:rFonts w:ascii="Times New Roman" w:hAnsi="Times New Roman" w:cs="Times New Roman"/>
          <w:sz w:val="24"/>
          <w:szCs w:val="24"/>
        </w:rPr>
        <w:t>(12), 452. Retrieved from  doi:10.3390/batteries10120452</w:t>
      </w:r>
    </w:p>
    <w:p w14:paraId="24492B84" w14:textId="5ECCD303"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Beyes, J. O., &amp; Riunaa, L. (2025). Circular Economy Approaches in Energy Storage: Recycling and Second-Life Applications of Lithium-Ion Batteries. </w:t>
      </w:r>
      <w:r w:rsidRPr="00AE57D3">
        <w:rPr>
          <w:rFonts w:ascii="Times New Roman" w:hAnsi="Times New Roman" w:cs="Times New Roman"/>
          <w:i/>
          <w:sz w:val="24"/>
          <w:szCs w:val="24"/>
        </w:rPr>
        <w:t>Transactions on Energy Storage Systems and Innovation</w:t>
      </w:r>
      <w:r w:rsidRPr="00AE57D3">
        <w:rPr>
          <w:rFonts w:ascii="Times New Roman" w:hAnsi="Times New Roman" w:cs="Times New Roman"/>
          <w:sz w:val="24"/>
          <w:szCs w:val="24"/>
        </w:rPr>
        <w:t xml:space="preserve">, 10-18. doi: </w:t>
      </w:r>
      <w:hyperlink r:id="rId8" w:history="1">
        <w:r w:rsidRPr="00AE57D3">
          <w:rPr>
            <w:rStyle w:val="Hyperlink"/>
            <w:rFonts w:ascii="Times New Roman" w:hAnsi="Times New Roman" w:cs="Times New Roman"/>
            <w:sz w:val="24"/>
            <w:szCs w:val="24"/>
          </w:rPr>
          <w:t>https://doi.org/10.17051/T-ESSI/01.03.02</w:t>
        </w:r>
      </w:hyperlink>
    </w:p>
    <w:p w14:paraId="6D7E04DA"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Cui, J., Tan, Q., Liu, L., &amp; Li, J. (2023). Environmental Benefit Assessment of Second-Life Use of Electric Vehicle Lithium-Ion Batteries in Multiple Scenarios Considering Performance Degradation and Economic Value. </w:t>
      </w:r>
      <w:r w:rsidRPr="00AE57D3">
        <w:rPr>
          <w:rFonts w:ascii="Times New Roman" w:hAnsi="Times New Roman" w:cs="Times New Roman"/>
          <w:i/>
          <w:sz w:val="24"/>
          <w:szCs w:val="24"/>
        </w:rPr>
        <w:t>Environmental Science &amp; Technology, 57</w:t>
      </w:r>
      <w:r w:rsidRPr="00AE57D3">
        <w:rPr>
          <w:rFonts w:ascii="Times New Roman" w:hAnsi="Times New Roman" w:cs="Times New Roman"/>
          <w:sz w:val="24"/>
          <w:szCs w:val="24"/>
        </w:rPr>
        <w:t>(23), 8559-8567. doi: 10.1021/acs.est.3c00506</w:t>
      </w:r>
    </w:p>
    <w:p w14:paraId="76D2A303"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Cui, J., Tan, Q., Liu, L., &amp; Li, J. (2023). Environmental Benefit Assessment of Second-Life Use of Electric Vehicle Lithium-Ion Batteries in Multiple Scenarios Considering Performance </w:t>
      </w:r>
      <w:r w:rsidRPr="00AE57D3">
        <w:rPr>
          <w:rFonts w:ascii="Times New Roman" w:hAnsi="Times New Roman" w:cs="Times New Roman"/>
          <w:sz w:val="24"/>
          <w:szCs w:val="24"/>
        </w:rPr>
        <w:lastRenderedPageBreak/>
        <w:t xml:space="preserve">Degradation and Economic Value. </w:t>
      </w:r>
      <w:r w:rsidRPr="00AE57D3">
        <w:rPr>
          <w:rFonts w:ascii="Times New Roman" w:hAnsi="Times New Roman" w:cs="Times New Roman"/>
          <w:i/>
          <w:sz w:val="24"/>
          <w:szCs w:val="24"/>
        </w:rPr>
        <w:t>Environ Sci Technol, 57</w:t>
      </w:r>
      <w:r w:rsidRPr="00AE57D3">
        <w:rPr>
          <w:rFonts w:ascii="Times New Roman" w:hAnsi="Times New Roman" w:cs="Times New Roman"/>
          <w:sz w:val="24"/>
          <w:szCs w:val="24"/>
        </w:rPr>
        <w:t>(23), 8559-8567. doi: 10.1021/acs.est.3c00506</w:t>
      </w:r>
    </w:p>
    <w:p w14:paraId="637AB188" w14:textId="4AFD1C93"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Ferdous, J. (2025a). Sustainable EV Battery Recycling Infrastructure: A Review of Site Selection Frameworks and Decision Models. </w:t>
      </w:r>
      <w:r w:rsidRPr="00AE57D3">
        <w:rPr>
          <w:rFonts w:ascii="Times New Roman" w:hAnsi="Times New Roman" w:cs="Times New Roman"/>
          <w:i/>
          <w:sz w:val="24"/>
          <w:szCs w:val="24"/>
        </w:rPr>
        <w:t>International Journal of Innovative Science and Research Technology, 10</w:t>
      </w:r>
      <w:r w:rsidRPr="00AE57D3">
        <w:rPr>
          <w:rFonts w:ascii="Times New Roman" w:hAnsi="Times New Roman" w:cs="Times New Roman"/>
          <w:sz w:val="24"/>
          <w:szCs w:val="24"/>
        </w:rPr>
        <w:t xml:space="preserve">(8), 2243-2258. doi: </w:t>
      </w:r>
      <w:hyperlink r:id="rId9" w:history="1">
        <w:r w:rsidRPr="00AE57D3">
          <w:rPr>
            <w:rStyle w:val="Hyperlink"/>
            <w:rFonts w:ascii="Times New Roman" w:hAnsi="Times New Roman" w:cs="Times New Roman"/>
            <w:sz w:val="24"/>
            <w:szCs w:val="24"/>
          </w:rPr>
          <w:t>https://doi.org/10.38124/ijisrt/25aug987</w:t>
        </w:r>
      </w:hyperlink>
    </w:p>
    <w:p w14:paraId="26708D97" w14:textId="52A94A8F"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Ferdous, J. (2025b). Sustainable EV Battery Recycling Infrastructure: A Review of Site Selection Frameworks and Decision Models. doi: </w:t>
      </w:r>
      <w:hyperlink r:id="rId10" w:history="1">
        <w:r w:rsidRPr="00AE57D3">
          <w:rPr>
            <w:rStyle w:val="Hyperlink"/>
            <w:rFonts w:ascii="Times New Roman" w:hAnsi="Times New Roman" w:cs="Times New Roman"/>
            <w:sz w:val="24"/>
            <w:szCs w:val="24"/>
          </w:rPr>
          <w:t>https://doi.org/10.38124/ijisrt/25aug987</w:t>
        </w:r>
      </w:hyperlink>
    </w:p>
    <w:p w14:paraId="625286C6" w14:textId="31351AFE"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Haram, M. H. S. M., Lee, J. W., Ramasamy, G., Ngu, E. E., Thiagarajah, S. P., &amp; Lee, Y. H. (2021). Feasibility of utilising second life EV batteries: Applications, lifespan, economics, environmental impact, assessment, and challenges. </w:t>
      </w:r>
      <w:r w:rsidRPr="00AE57D3">
        <w:rPr>
          <w:rFonts w:ascii="Times New Roman" w:hAnsi="Times New Roman" w:cs="Times New Roman"/>
          <w:i/>
          <w:sz w:val="24"/>
          <w:szCs w:val="24"/>
        </w:rPr>
        <w:t>Alexandria Engineering Journal, 60</w:t>
      </w:r>
      <w:r w:rsidRPr="00AE57D3">
        <w:rPr>
          <w:rFonts w:ascii="Times New Roman" w:hAnsi="Times New Roman" w:cs="Times New Roman"/>
          <w:sz w:val="24"/>
          <w:szCs w:val="24"/>
        </w:rPr>
        <w:t xml:space="preserve">(5), 4517-4536. doi: </w:t>
      </w:r>
      <w:hyperlink r:id="rId11" w:history="1">
        <w:r w:rsidRPr="00AE57D3">
          <w:rPr>
            <w:rStyle w:val="Hyperlink"/>
            <w:rFonts w:ascii="Times New Roman" w:hAnsi="Times New Roman" w:cs="Times New Roman"/>
            <w:sz w:val="24"/>
            <w:szCs w:val="24"/>
          </w:rPr>
          <w:t>https://doi.org/10.1016/j.aej.2021.03.021</w:t>
        </w:r>
      </w:hyperlink>
    </w:p>
    <w:p w14:paraId="6877A029"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Haryanto, B. (2016). Lead exposure from battery recycling in Indonesia. </w:t>
      </w:r>
      <w:r w:rsidRPr="00AE57D3">
        <w:rPr>
          <w:rFonts w:ascii="Times New Roman" w:hAnsi="Times New Roman" w:cs="Times New Roman"/>
          <w:i/>
          <w:sz w:val="24"/>
          <w:szCs w:val="24"/>
        </w:rPr>
        <w:t>Rev Environ Health, 31</w:t>
      </w:r>
      <w:r w:rsidRPr="00AE57D3">
        <w:rPr>
          <w:rFonts w:ascii="Times New Roman" w:hAnsi="Times New Roman" w:cs="Times New Roman"/>
          <w:sz w:val="24"/>
          <w:szCs w:val="24"/>
        </w:rPr>
        <w:t>(1), 13-16. doi: 10.1515/reveh-2015-0036</w:t>
      </w:r>
    </w:p>
    <w:p w14:paraId="1F5FA6A6"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Hassan, A., Khan, S. A., Li, R., Su, W., Zhou, X., Wang, M., &amp; Wang, B. (2023). Second-Life Batteries: A Review on Power Grid Applications, Degradation Mechanisms, and Power Electronics Interface Architectures. </w:t>
      </w:r>
      <w:r w:rsidRPr="00AE57D3">
        <w:rPr>
          <w:rFonts w:ascii="Times New Roman" w:hAnsi="Times New Roman" w:cs="Times New Roman"/>
          <w:i/>
          <w:sz w:val="24"/>
          <w:szCs w:val="24"/>
        </w:rPr>
        <w:t>Batteries, 9</w:t>
      </w:r>
      <w:r w:rsidRPr="00AE57D3">
        <w:rPr>
          <w:rFonts w:ascii="Times New Roman" w:hAnsi="Times New Roman" w:cs="Times New Roman"/>
          <w:sz w:val="24"/>
          <w:szCs w:val="24"/>
        </w:rPr>
        <w:t>(12), 571. Retrieved from  doi:10.3390/batteries9120571</w:t>
      </w:r>
    </w:p>
    <w:p w14:paraId="5BD5DC8B"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Iqbal, H., Sarwar, S., Kirli, D., Shek, J. K. H., &amp; Kiprakis, A. E. (2023). A survey of second-life batteries based on techno-economic perspective and applications-based analysis. </w:t>
      </w:r>
      <w:r w:rsidRPr="00AE57D3">
        <w:rPr>
          <w:rFonts w:ascii="Times New Roman" w:hAnsi="Times New Roman" w:cs="Times New Roman"/>
          <w:i/>
          <w:sz w:val="24"/>
          <w:szCs w:val="24"/>
        </w:rPr>
        <w:t>Carbon Neutrality, 2</w:t>
      </w:r>
      <w:r w:rsidRPr="00AE57D3">
        <w:rPr>
          <w:rFonts w:ascii="Times New Roman" w:hAnsi="Times New Roman" w:cs="Times New Roman"/>
          <w:sz w:val="24"/>
          <w:szCs w:val="24"/>
        </w:rPr>
        <w:t>(1), 8. doi: 10.1007/s43979-023-00049-5</w:t>
      </w:r>
    </w:p>
    <w:p w14:paraId="4032AB7E"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Kampker, A., Heimes, H. H., Offermanns, C., Vienenkötter, J., Frank, M., &amp; Holz, D. (2023). Identification of Challenges for Second-Life Battery Systems—A Literature Review. </w:t>
      </w:r>
      <w:r w:rsidRPr="00AE57D3">
        <w:rPr>
          <w:rFonts w:ascii="Times New Roman" w:hAnsi="Times New Roman" w:cs="Times New Roman"/>
          <w:i/>
          <w:sz w:val="24"/>
          <w:szCs w:val="24"/>
        </w:rPr>
        <w:t>World Electric Vehicle Journal, 14</w:t>
      </w:r>
      <w:r w:rsidRPr="00AE57D3">
        <w:rPr>
          <w:rFonts w:ascii="Times New Roman" w:hAnsi="Times New Roman" w:cs="Times New Roman"/>
          <w:sz w:val="24"/>
          <w:szCs w:val="24"/>
        </w:rPr>
        <w:t>(4), 80. Retrieved from  doi:10.3390/wevj14040080</w:t>
      </w:r>
    </w:p>
    <w:p w14:paraId="66061D7C"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Kebir, N., Leonard, A., Downey, M., Jones, B., Rabie, K., Bhagavathy, S. M., &amp; Hirmer, S. A. (2023). Second-life battery systems for affordable energy access in Kenyan primary schools. </w:t>
      </w:r>
      <w:r w:rsidRPr="00AE57D3">
        <w:rPr>
          <w:rFonts w:ascii="Times New Roman" w:hAnsi="Times New Roman" w:cs="Times New Roman"/>
          <w:i/>
          <w:sz w:val="24"/>
          <w:szCs w:val="24"/>
        </w:rPr>
        <w:t>Scientific Reports, 13</w:t>
      </w:r>
      <w:r w:rsidRPr="00AE57D3">
        <w:rPr>
          <w:rFonts w:ascii="Times New Roman" w:hAnsi="Times New Roman" w:cs="Times New Roman"/>
          <w:sz w:val="24"/>
          <w:szCs w:val="24"/>
        </w:rPr>
        <w:t>(1), 1374. doi: 10.1038/s41598-023-28377-7</w:t>
      </w:r>
    </w:p>
    <w:p w14:paraId="3326689F" w14:textId="1ED1DCB2"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Kirana, R. C., Purwanto, N. A., Azis, N. A., Joelianto, E., Santosa, S. P., Budiman, B. A., . . . Turnip, A. (2023). Failure assessment in lithium-ion battery packs in electric vehicles using the failure modes and effects analysis (FMEA) approach. </w:t>
      </w:r>
      <w:r w:rsidRPr="00AE57D3">
        <w:rPr>
          <w:rFonts w:ascii="Times New Roman" w:hAnsi="Times New Roman" w:cs="Times New Roman"/>
          <w:i/>
          <w:sz w:val="24"/>
          <w:szCs w:val="24"/>
        </w:rPr>
        <w:t>Journal of Mechatronics, Electrical Power, and Vehicular Technology, 14</w:t>
      </w:r>
      <w:r w:rsidRPr="00AE57D3">
        <w:rPr>
          <w:rFonts w:ascii="Times New Roman" w:hAnsi="Times New Roman" w:cs="Times New Roman"/>
          <w:sz w:val="24"/>
          <w:szCs w:val="24"/>
        </w:rPr>
        <w:t xml:space="preserve">(1), 94-104. doi: </w:t>
      </w:r>
      <w:hyperlink r:id="rId12" w:history="1">
        <w:r w:rsidRPr="00AE57D3">
          <w:rPr>
            <w:rStyle w:val="Hyperlink"/>
            <w:rFonts w:ascii="Times New Roman" w:hAnsi="Times New Roman" w:cs="Times New Roman"/>
            <w:sz w:val="24"/>
            <w:szCs w:val="24"/>
          </w:rPr>
          <w:t>https://doi.org/10.14203/j.mev.2023.v14.94-104</w:t>
        </w:r>
      </w:hyperlink>
    </w:p>
    <w:p w14:paraId="53CDF7C3" w14:textId="41C382EB"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Korsunova, A., Halme, M., Kourula, A., Levänen, J., &amp; Lima-Toivanen, M. (2022). Necessity-driven circular economy in low-income contexts: How informal sector practices retain value for circularity. </w:t>
      </w:r>
      <w:r w:rsidRPr="00AE57D3">
        <w:rPr>
          <w:rFonts w:ascii="Times New Roman" w:hAnsi="Times New Roman" w:cs="Times New Roman"/>
          <w:i/>
          <w:sz w:val="24"/>
          <w:szCs w:val="24"/>
        </w:rPr>
        <w:t>Global Environmental Change, 76</w:t>
      </w:r>
      <w:r w:rsidRPr="00AE57D3">
        <w:rPr>
          <w:rFonts w:ascii="Times New Roman" w:hAnsi="Times New Roman" w:cs="Times New Roman"/>
          <w:sz w:val="24"/>
          <w:szCs w:val="24"/>
        </w:rPr>
        <w:t xml:space="preserve">, 102573. doi: </w:t>
      </w:r>
      <w:hyperlink r:id="rId13" w:history="1">
        <w:r w:rsidRPr="00AE57D3">
          <w:rPr>
            <w:rStyle w:val="Hyperlink"/>
            <w:rFonts w:ascii="Times New Roman" w:hAnsi="Times New Roman" w:cs="Times New Roman"/>
            <w:sz w:val="24"/>
            <w:szCs w:val="24"/>
          </w:rPr>
          <w:t>https://doi.org/10.1016/j.gloenvcha.2022.102573</w:t>
        </w:r>
      </w:hyperlink>
    </w:p>
    <w:p w14:paraId="535122AA"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Li, S., &amp; Xie, B. (2025). A forewarning model for the reverse supply chain of urban End-of-Life power batteries based on a mix method of BWM and RBFNN. </w:t>
      </w:r>
      <w:r w:rsidRPr="00AE57D3">
        <w:rPr>
          <w:rFonts w:ascii="Times New Roman" w:hAnsi="Times New Roman" w:cs="Times New Roman"/>
          <w:i/>
          <w:sz w:val="24"/>
          <w:szCs w:val="24"/>
        </w:rPr>
        <w:t>Scientific Reports, 15</w:t>
      </w:r>
      <w:r w:rsidRPr="00AE57D3">
        <w:rPr>
          <w:rFonts w:ascii="Times New Roman" w:hAnsi="Times New Roman" w:cs="Times New Roman"/>
          <w:sz w:val="24"/>
          <w:szCs w:val="24"/>
        </w:rPr>
        <w:t>(1), 29883. doi: 10.1038/s41598-025-13573-4</w:t>
      </w:r>
    </w:p>
    <w:p w14:paraId="6D591021" w14:textId="4B985AAC"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Li, X., Lin, Y., Yang, S., &amp; Zhang, W. (2025). Intelligent domain-generalized second-life EV battery state-of-health estimation. </w:t>
      </w:r>
      <w:r w:rsidRPr="00AE57D3">
        <w:rPr>
          <w:rFonts w:ascii="Times New Roman" w:hAnsi="Times New Roman" w:cs="Times New Roman"/>
          <w:i/>
          <w:sz w:val="24"/>
          <w:szCs w:val="24"/>
        </w:rPr>
        <w:t>Journal of Energy Storage, 140</w:t>
      </w:r>
      <w:r w:rsidRPr="00AE57D3">
        <w:rPr>
          <w:rFonts w:ascii="Times New Roman" w:hAnsi="Times New Roman" w:cs="Times New Roman"/>
          <w:sz w:val="24"/>
          <w:szCs w:val="24"/>
        </w:rPr>
        <w:t xml:space="preserve">, 118989. doi: </w:t>
      </w:r>
      <w:hyperlink r:id="rId14" w:history="1">
        <w:r w:rsidRPr="00AE57D3">
          <w:rPr>
            <w:rStyle w:val="Hyperlink"/>
            <w:rFonts w:ascii="Times New Roman" w:hAnsi="Times New Roman" w:cs="Times New Roman"/>
            <w:sz w:val="24"/>
            <w:szCs w:val="24"/>
          </w:rPr>
          <w:t>https://doi.org/10.1016/j.est.2025.118989</w:t>
        </w:r>
      </w:hyperlink>
    </w:p>
    <w:p w14:paraId="7F1992EC" w14:textId="47E60F04"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Pan, J., Du, L., Wu, H., &amp; Liu, X. (2024). Does environmental law enforcement supervision improve corporate carbon reduction performance? Evidence from environmental protection interview. </w:t>
      </w:r>
      <w:r w:rsidRPr="00AE57D3">
        <w:rPr>
          <w:rFonts w:ascii="Times New Roman" w:hAnsi="Times New Roman" w:cs="Times New Roman"/>
          <w:i/>
          <w:sz w:val="24"/>
          <w:szCs w:val="24"/>
        </w:rPr>
        <w:t>Energy Economics, 132</w:t>
      </w:r>
      <w:r w:rsidRPr="00AE57D3">
        <w:rPr>
          <w:rFonts w:ascii="Times New Roman" w:hAnsi="Times New Roman" w:cs="Times New Roman"/>
          <w:sz w:val="24"/>
          <w:szCs w:val="24"/>
        </w:rPr>
        <w:t xml:space="preserve">, 107441. doi: </w:t>
      </w:r>
      <w:hyperlink r:id="rId15" w:history="1">
        <w:r w:rsidRPr="00AE57D3">
          <w:rPr>
            <w:rStyle w:val="Hyperlink"/>
            <w:rFonts w:ascii="Times New Roman" w:hAnsi="Times New Roman" w:cs="Times New Roman"/>
            <w:sz w:val="24"/>
            <w:szCs w:val="24"/>
          </w:rPr>
          <w:t>https://doi.org/10.1016/j.eneco.2024.107441</w:t>
        </w:r>
      </w:hyperlink>
    </w:p>
    <w:p w14:paraId="3109FE06"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lastRenderedPageBreak/>
        <w:t xml:space="preserve">Patel, A. N., Lander, L., Ahuja, J., Bulman, J., Lum, J. K. H., Pople, J. O. D., . . . Edge, J. S. (2024). Lithium-ion battery second life: pathways, challenges and outlook. </w:t>
      </w:r>
      <w:r w:rsidRPr="00AE57D3">
        <w:rPr>
          <w:rFonts w:ascii="Times New Roman" w:hAnsi="Times New Roman" w:cs="Times New Roman"/>
          <w:i/>
          <w:sz w:val="24"/>
          <w:szCs w:val="24"/>
        </w:rPr>
        <w:t>Front Chem, 12</w:t>
      </w:r>
      <w:r w:rsidRPr="00AE57D3">
        <w:rPr>
          <w:rFonts w:ascii="Times New Roman" w:hAnsi="Times New Roman" w:cs="Times New Roman"/>
          <w:sz w:val="24"/>
          <w:szCs w:val="24"/>
        </w:rPr>
        <w:t>, 1358417. doi: 10.3389/fchem.2024.1358417</w:t>
      </w:r>
    </w:p>
    <w:p w14:paraId="5B4152A1"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Paul, A., Shukla, N., Paul, S. K., &amp; Trianni, A. (2021). Sustainable Supply Chain Management and Multi-Criteria Decision-Making Methods: A Systematic Review. </w:t>
      </w:r>
      <w:r w:rsidRPr="00AE57D3">
        <w:rPr>
          <w:rFonts w:ascii="Times New Roman" w:hAnsi="Times New Roman" w:cs="Times New Roman"/>
          <w:i/>
          <w:sz w:val="24"/>
          <w:szCs w:val="24"/>
        </w:rPr>
        <w:t>Sustainability, 13</w:t>
      </w:r>
      <w:r w:rsidRPr="00AE57D3">
        <w:rPr>
          <w:rFonts w:ascii="Times New Roman" w:hAnsi="Times New Roman" w:cs="Times New Roman"/>
          <w:sz w:val="24"/>
          <w:szCs w:val="24"/>
        </w:rPr>
        <w:t>(13), 7104. Retrieved from  doi:10.3390/su13137104</w:t>
      </w:r>
    </w:p>
    <w:p w14:paraId="4DBB857B" w14:textId="1699C756"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Prenner, S., Part, F., Jung-Waclik, S., Bordes, A., Leonhardt, R., Jandric, A., . . . Huber-Humer, M. (2024). Barriers and framework conditions for the market entry of second-life lithium-ion batteries from electric vehicles. </w:t>
      </w:r>
      <w:r w:rsidRPr="00AE57D3">
        <w:rPr>
          <w:rFonts w:ascii="Times New Roman" w:hAnsi="Times New Roman" w:cs="Times New Roman"/>
          <w:i/>
          <w:sz w:val="24"/>
          <w:szCs w:val="24"/>
        </w:rPr>
        <w:t>Heliyon, 10</w:t>
      </w:r>
      <w:r w:rsidRPr="00AE57D3">
        <w:rPr>
          <w:rFonts w:ascii="Times New Roman" w:hAnsi="Times New Roman" w:cs="Times New Roman"/>
          <w:sz w:val="24"/>
          <w:szCs w:val="24"/>
        </w:rPr>
        <w:t xml:space="preserve">(18), e37423. doi: </w:t>
      </w:r>
      <w:hyperlink r:id="rId16" w:history="1">
        <w:r w:rsidRPr="00AE57D3">
          <w:rPr>
            <w:rStyle w:val="Hyperlink"/>
            <w:rFonts w:ascii="Times New Roman" w:hAnsi="Times New Roman" w:cs="Times New Roman"/>
            <w:sz w:val="24"/>
            <w:szCs w:val="24"/>
          </w:rPr>
          <w:t>https://doi.org/10.1016/j.heliyon.2024.e37423</w:t>
        </w:r>
      </w:hyperlink>
    </w:p>
    <w:p w14:paraId="5BDEE7EC"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Primadasa, R., Kusrini, E., Mansur, A., &amp; Masudin, I. (2025). Integrating DEMATEL-ISM-MICMAC: an interconnected model of halal-sustainable supply chain management (HSSCM) indicatorsfor SMEs. </w:t>
      </w:r>
      <w:r w:rsidRPr="00AE57D3">
        <w:rPr>
          <w:rFonts w:ascii="Times New Roman" w:hAnsi="Times New Roman" w:cs="Times New Roman"/>
          <w:i/>
          <w:sz w:val="24"/>
          <w:szCs w:val="24"/>
        </w:rPr>
        <w:t>Journal of Islamic Marketing, 16</w:t>
      </w:r>
      <w:r w:rsidRPr="00AE57D3">
        <w:rPr>
          <w:rFonts w:ascii="Times New Roman" w:hAnsi="Times New Roman" w:cs="Times New Roman"/>
          <w:sz w:val="24"/>
          <w:szCs w:val="24"/>
        </w:rPr>
        <w:t>(8), 2244-2275. doi: 10.1108/JIMA-07-2024-0303</w:t>
      </w:r>
    </w:p>
    <w:p w14:paraId="69E0FA65" w14:textId="16F0E999"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Ribeiro da Silva, E., Lohmer, J., Rohla, M., &amp; Angelis, J. (2023). Unleashing the circular economy in the electric vehicle battery supply chain: A case study on data sharing and blockchain potential. </w:t>
      </w:r>
      <w:r w:rsidRPr="00AE57D3">
        <w:rPr>
          <w:rFonts w:ascii="Times New Roman" w:hAnsi="Times New Roman" w:cs="Times New Roman"/>
          <w:i/>
          <w:sz w:val="24"/>
          <w:szCs w:val="24"/>
        </w:rPr>
        <w:t>Resources, Conservation and Recycling, 193</w:t>
      </w:r>
      <w:r w:rsidRPr="00AE57D3">
        <w:rPr>
          <w:rFonts w:ascii="Times New Roman" w:hAnsi="Times New Roman" w:cs="Times New Roman"/>
          <w:sz w:val="24"/>
          <w:szCs w:val="24"/>
        </w:rPr>
        <w:t xml:space="preserve">, 106969. doi: </w:t>
      </w:r>
      <w:hyperlink r:id="rId17" w:history="1">
        <w:r w:rsidRPr="00AE57D3">
          <w:rPr>
            <w:rStyle w:val="Hyperlink"/>
            <w:rFonts w:ascii="Times New Roman" w:hAnsi="Times New Roman" w:cs="Times New Roman"/>
            <w:sz w:val="24"/>
            <w:szCs w:val="24"/>
          </w:rPr>
          <w:t>https://doi.org/10.1016/j.resconrec.2023.106969</w:t>
        </w:r>
      </w:hyperlink>
    </w:p>
    <w:p w14:paraId="34723628"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Rufino Júnior, C. A., Sanseverino, E. R., Gallo, P., Koch, D., Kotak, Y., Schweiger, H.-G., &amp; Zanin, H. (2023). Reviewing Regulations and Standards for Second-Life Batteries </w:t>
      </w:r>
      <w:r w:rsidRPr="00AE57D3">
        <w:rPr>
          <w:rFonts w:ascii="Times New Roman" w:hAnsi="Times New Roman" w:cs="Times New Roman"/>
          <w:i/>
          <w:sz w:val="24"/>
          <w:szCs w:val="24"/>
        </w:rPr>
        <w:t>Preprints</w:t>
      </w:r>
      <w:r w:rsidRPr="00AE57D3">
        <w:rPr>
          <w:rFonts w:ascii="Times New Roman" w:hAnsi="Times New Roman" w:cs="Times New Roman"/>
          <w:sz w:val="24"/>
          <w:szCs w:val="24"/>
        </w:rPr>
        <w:t>: Preprints.</w:t>
      </w:r>
    </w:p>
    <w:p w14:paraId="23ECAD58" w14:textId="19F1005A"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 V., Che, H. S., Selvaraj, J., Tey, K. S., Lee, J. W., Shareef, H., &amp; Errouissi, R. (2024). State of Health (SoH) estimation methods for second life lithium-ion battery—Review and challenges. </w:t>
      </w:r>
      <w:r w:rsidRPr="00AE57D3">
        <w:rPr>
          <w:rFonts w:ascii="Times New Roman" w:hAnsi="Times New Roman" w:cs="Times New Roman"/>
          <w:i/>
          <w:sz w:val="24"/>
          <w:szCs w:val="24"/>
        </w:rPr>
        <w:t>Applied Energy, 369</w:t>
      </w:r>
      <w:r w:rsidRPr="00AE57D3">
        <w:rPr>
          <w:rFonts w:ascii="Times New Roman" w:hAnsi="Times New Roman" w:cs="Times New Roman"/>
          <w:sz w:val="24"/>
          <w:szCs w:val="24"/>
        </w:rPr>
        <w:t xml:space="preserve">, 123542. doi: </w:t>
      </w:r>
      <w:hyperlink r:id="rId18" w:history="1">
        <w:r w:rsidRPr="00AE57D3">
          <w:rPr>
            <w:rStyle w:val="Hyperlink"/>
            <w:rFonts w:ascii="Times New Roman" w:hAnsi="Times New Roman" w:cs="Times New Roman"/>
            <w:sz w:val="24"/>
            <w:szCs w:val="24"/>
          </w:rPr>
          <w:t>https://doi.org/10.1016/j.apenergy.2024.123542</w:t>
        </w:r>
      </w:hyperlink>
    </w:p>
    <w:p w14:paraId="39526819"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Salek, F., Resalati, S., Babaie, M., Henshall, P., Morrey, D., &amp; Yao, L. (2024). A Review of the Technical Challenges and Solutions in Maximising the Potential Use of Second Life Batteries from Electric Vehicles. </w:t>
      </w:r>
      <w:r w:rsidRPr="00AE57D3">
        <w:rPr>
          <w:rFonts w:ascii="Times New Roman" w:hAnsi="Times New Roman" w:cs="Times New Roman"/>
          <w:i/>
          <w:sz w:val="24"/>
          <w:szCs w:val="24"/>
        </w:rPr>
        <w:t>Batteries, 10</w:t>
      </w:r>
      <w:r w:rsidRPr="00AE57D3">
        <w:rPr>
          <w:rFonts w:ascii="Times New Roman" w:hAnsi="Times New Roman" w:cs="Times New Roman"/>
          <w:sz w:val="24"/>
          <w:szCs w:val="24"/>
        </w:rPr>
        <w:t>(3), 79. Retrieved from  doi:10.3390/batteries10030079</w:t>
      </w:r>
    </w:p>
    <w:p w14:paraId="6A704AF1"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Shen, K.-Y., &amp; Tzeng, G.-H. (2018). Advances in Multiple Criteria Decision Making for Sustainability: Modeling and Applications. </w:t>
      </w:r>
      <w:r w:rsidRPr="00AE57D3">
        <w:rPr>
          <w:rFonts w:ascii="Times New Roman" w:hAnsi="Times New Roman" w:cs="Times New Roman"/>
          <w:i/>
          <w:sz w:val="24"/>
          <w:szCs w:val="24"/>
        </w:rPr>
        <w:t>Sustainability, 10</w:t>
      </w:r>
      <w:r w:rsidRPr="00AE57D3">
        <w:rPr>
          <w:rFonts w:ascii="Times New Roman" w:hAnsi="Times New Roman" w:cs="Times New Roman"/>
          <w:sz w:val="24"/>
          <w:szCs w:val="24"/>
        </w:rPr>
        <w:t>(5), 1600. Retrieved from  doi:10.3390/su10051600</w:t>
      </w:r>
    </w:p>
    <w:p w14:paraId="52155757" w14:textId="6B099AD0"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Silvestre, B. S. (2015). Sustainable supply chain management in emerging economies: Environmental turbulence, institutional voids and sustainability trajectories. </w:t>
      </w:r>
      <w:r w:rsidRPr="00AE57D3">
        <w:rPr>
          <w:rFonts w:ascii="Times New Roman" w:hAnsi="Times New Roman" w:cs="Times New Roman"/>
          <w:i/>
          <w:sz w:val="24"/>
          <w:szCs w:val="24"/>
        </w:rPr>
        <w:t>International Journal of Production Economics, 167</w:t>
      </w:r>
      <w:r w:rsidRPr="00AE57D3">
        <w:rPr>
          <w:rFonts w:ascii="Times New Roman" w:hAnsi="Times New Roman" w:cs="Times New Roman"/>
          <w:sz w:val="24"/>
          <w:szCs w:val="24"/>
        </w:rPr>
        <w:t xml:space="preserve">, 156-169. doi: </w:t>
      </w:r>
      <w:hyperlink r:id="rId19" w:history="1">
        <w:r w:rsidRPr="00AE57D3">
          <w:rPr>
            <w:rStyle w:val="Hyperlink"/>
            <w:rFonts w:ascii="Times New Roman" w:hAnsi="Times New Roman" w:cs="Times New Roman"/>
            <w:sz w:val="24"/>
            <w:szCs w:val="24"/>
          </w:rPr>
          <w:t>https://doi.org/10.1016/j.ijpe.2015.05.025</w:t>
        </w:r>
      </w:hyperlink>
    </w:p>
    <w:p w14:paraId="722B0559" w14:textId="5CB3E882"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Sorooshian, S., Khiavi, S. F., Karimi, F., &amp; Mina, H. (2024). Link between sustainable circular supply chain and Internet of Things technology in electric vehicle battery manufacturing industry: A business strategy optimization for pickup and delivery. </w:t>
      </w:r>
      <w:r w:rsidRPr="00AE57D3">
        <w:rPr>
          <w:rFonts w:ascii="Times New Roman" w:hAnsi="Times New Roman" w:cs="Times New Roman"/>
          <w:i/>
          <w:sz w:val="24"/>
          <w:szCs w:val="24"/>
        </w:rPr>
        <w:t>Business Strategy and the Environment, 33</w:t>
      </w:r>
      <w:r w:rsidRPr="00AE57D3">
        <w:rPr>
          <w:rFonts w:ascii="Times New Roman" w:hAnsi="Times New Roman" w:cs="Times New Roman"/>
          <w:sz w:val="24"/>
          <w:szCs w:val="24"/>
        </w:rPr>
        <w:t xml:space="preserve">(8), 8211-8232. doi: </w:t>
      </w:r>
      <w:hyperlink r:id="rId20" w:history="1">
        <w:r w:rsidRPr="00AE57D3">
          <w:rPr>
            <w:rStyle w:val="Hyperlink"/>
            <w:rFonts w:ascii="Times New Roman" w:hAnsi="Times New Roman" w:cs="Times New Roman"/>
            <w:sz w:val="24"/>
            <w:szCs w:val="24"/>
          </w:rPr>
          <w:t>https://doi.org/10.1002/bse.3905</w:t>
        </w:r>
      </w:hyperlink>
    </w:p>
    <w:p w14:paraId="1102820F"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Su, D., Mei, Y., Liu, T., &amp; Amine, K. (2025). Global Regulations for Sustainable Battery Recycling: Challenges and Opportunities. </w:t>
      </w:r>
      <w:r w:rsidRPr="00AE57D3">
        <w:rPr>
          <w:rFonts w:ascii="Times New Roman" w:hAnsi="Times New Roman" w:cs="Times New Roman"/>
          <w:i/>
          <w:sz w:val="24"/>
          <w:szCs w:val="24"/>
        </w:rPr>
        <w:t>Sustainability, 17</w:t>
      </w:r>
      <w:r w:rsidRPr="00AE57D3">
        <w:rPr>
          <w:rFonts w:ascii="Times New Roman" w:hAnsi="Times New Roman" w:cs="Times New Roman"/>
          <w:sz w:val="24"/>
          <w:szCs w:val="24"/>
        </w:rPr>
        <w:t>(7), 3045. Retrieved from  doi:10.3390/su17073045</w:t>
      </w:r>
    </w:p>
    <w:p w14:paraId="4E762DA7" w14:textId="50C4146C"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Thakur, J., Martins Leite de Almeida, C., &amp; Baskar, A. G. (2022). Electric vehicle batteries for a circular economy: Second life batteries as residential stationary storage. </w:t>
      </w:r>
      <w:r w:rsidRPr="00AE57D3">
        <w:rPr>
          <w:rFonts w:ascii="Times New Roman" w:hAnsi="Times New Roman" w:cs="Times New Roman"/>
          <w:i/>
          <w:sz w:val="24"/>
          <w:szCs w:val="24"/>
        </w:rPr>
        <w:t>Journal of Cleaner Production, 375</w:t>
      </w:r>
      <w:r w:rsidRPr="00AE57D3">
        <w:rPr>
          <w:rFonts w:ascii="Times New Roman" w:hAnsi="Times New Roman" w:cs="Times New Roman"/>
          <w:sz w:val="24"/>
          <w:szCs w:val="24"/>
        </w:rPr>
        <w:t xml:space="preserve">, 134066. doi: </w:t>
      </w:r>
      <w:hyperlink r:id="rId21" w:history="1">
        <w:r w:rsidRPr="00AE57D3">
          <w:rPr>
            <w:rStyle w:val="Hyperlink"/>
            <w:rFonts w:ascii="Times New Roman" w:hAnsi="Times New Roman" w:cs="Times New Roman"/>
            <w:sz w:val="24"/>
            <w:szCs w:val="24"/>
          </w:rPr>
          <w:t>https://doi.org/10.1016/j.jclepro.2022.134066</w:t>
        </w:r>
      </w:hyperlink>
    </w:p>
    <w:p w14:paraId="1D0AE955" w14:textId="2BFE213C"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Toorajipour, R., Chirumalla, K., Johansson, G., Dahlquist, E., &amp; Wallin, F. (2024). Implementing circular business models for the second-life battery of electric vehicles: Challenges and </w:t>
      </w:r>
      <w:r w:rsidRPr="00AE57D3">
        <w:rPr>
          <w:rFonts w:ascii="Times New Roman" w:hAnsi="Times New Roman" w:cs="Times New Roman"/>
          <w:sz w:val="24"/>
          <w:szCs w:val="24"/>
        </w:rPr>
        <w:lastRenderedPageBreak/>
        <w:t xml:space="preserve">enablers from an ecosystem perspective. </w:t>
      </w:r>
      <w:r w:rsidRPr="00AE57D3">
        <w:rPr>
          <w:rFonts w:ascii="Times New Roman" w:hAnsi="Times New Roman" w:cs="Times New Roman"/>
          <w:i/>
          <w:sz w:val="24"/>
          <w:szCs w:val="24"/>
        </w:rPr>
        <w:t>Business Strategy and the Environment, 33</w:t>
      </w:r>
      <w:r w:rsidRPr="00AE57D3">
        <w:rPr>
          <w:rFonts w:ascii="Times New Roman" w:hAnsi="Times New Roman" w:cs="Times New Roman"/>
          <w:sz w:val="24"/>
          <w:szCs w:val="24"/>
        </w:rPr>
        <w:t xml:space="preserve">(8), 8637-8655. doi: </w:t>
      </w:r>
      <w:hyperlink r:id="rId22" w:history="1">
        <w:r w:rsidRPr="00AE57D3">
          <w:rPr>
            <w:rStyle w:val="Hyperlink"/>
            <w:rFonts w:ascii="Times New Roman" w:hAnsi="Times New Roman" w:cs="Times New Roman"/>
            <w:sz w:val="24"/>
            <w:szCs w:val="24"/>
          </w:rPr>
          <w:t>https://doi.org/10.1002/bse.3941</w:t>
        </w:r>
      </w:hyperlink>
    </w:p>
    <w:p w14:paraId="05B19488" w14:textId="69AB40B2"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Tumu, K., Vorst, K., &amp; Curtzwiler, G. (2023). Global plastic waste recycling and extended producer responsibility laws. </w:t>
      </w:r>
      <w:r w:rsidRPr="00AE57D3">
        <w:rPr>
          <w:rFonts w:ascii="Times New Roman" w:hAnsi="Times New Roman" w:cs="Times New Roman"/>
          <w:i/>
          <w:sz w:val="24"/>
          <w:szCs w:val="24"/>
        </w:rPr>
        <w:t>Journal of Environmental Management, 348</w:t>
      </w:r>
      <w:r w:rsidRPr="00AE57D3">
        <w:rPr>
          <w:rFonts w:ascii="Times New Roman" w:hAnsi="Times New Roman" w:cs="Times New Roman"/>
          <w:sz w:val="24"/>
          <w:szCs w:val="24"/>
        </w:rPr>
        <w:t xml:space="preserve">, 119242. doi: </w:t>
      </w:r>
      <w:hyperlink r:id="rId23" w:history="1">
        <w:r w:rsidRPr="00AE57D3">
          <w:rPr>
            <w:rStyle w:val="Hyperlink"/>
            <w:rFonts w:ascii="Times New Roman" w:hAnsi="Times New Roman" w:cs="Times New Roman"/>
            <w:sz w:val="24"/>
            <w:szCs w:val="24"/>
          </w:rPr>
          <w:t>https://doi.org/10.1016/j.jenvman.2023.119242</w:t>
        </w:r>
      </w:hyperlink>
    </w:p>
    <w:p w14:paraId="18A4FF65" w14:textId="07C0B82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Velis, C. A., Hardesty, B. D., Cottom, J. W., &amp; Wilcox, C. (2022). Enabling the informal recycling sector to prevent plastic pollution and deliver an inclusive circular economy. </w:t>
      </w:r>
      <w:r w:rsidRPr="00AE57D3">
        <w:rPr>
          <w:rFonts w:ascii="Times New Roman" w:hAnsi="Times New Roman" w:cs="Times New Roman"/>
          <w:i/>
          <w:sz w:val="24"/>
          <w:szCs w:val="24"/>
        </w:rPr>
        <w:t>Environmental Science &amp; Policy, 138</w:t>
      </w:r>
      <w:r w:rsidRPr="00AE57D3">
        <w:rPr>
          <w:rFonts w:ascii="Times New Roman" w:hAnsi="Times New Roman" w:cs="Times New Roman"/>
          <w:sz w:val="24"/>
          <w:szCs w:val="24"/>
        </w:rPr>
        <w:t xml:space="preserve">, 20-25. doi: </w:t>
      </w:r>
      <w:hyperlink r:id="rId24" w:history="1">
        <w:r w:rsidRPr="00AE57D3">
          <w:rPr>
            <w:rStyle w:val="Hyperlink"/>
            <w:rFonts w:ascii="Times New Roman" w:hAnsi="Times New Roman" w:cs="Times New Roman"/>
            <w:sz w:val="24"/>
            <w:szCs w:val="24"/>
          </w:rPr>
          <w:t>https://doi.org/10.1016/j.envsci.2022.09.008</w:t>
        </w:r>
      </w:hyperlink>
    </w:p>
    <w:p w14:paraId="0F994CE7" w14:textId="77777777" w:rsidR="00AE57D3" w:rsidRPr="00AE57D3" w:rsidRDefault="00AE57D3" w:rsidP="00AE57D3">
      <w:pPr>
        <w:pStyle w:val="EndNoteBibliography"/>
        <w:tabs>
          <w:tab w:val="left" w:pos="360"/>
        </w:tabs>
        <w:spacing w:after="0"/>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Wei, L., Wang, C., &amp; Li, Y. (2022). Governance strategies for end-of-life electric vehicle battery recycling in China: A tripartite evolutionary game analysis. </w:t>
      </w:r>
      <w:r w:rsidRPr="00AE57D3">
        <w:rPr>
          <w:rFonts w:ascii="Times New Roman" w:hAnsi="Times New Roman" w:cs="Times New Roman"/>
          <w:i/>
          <w:sz w:val="24"/>
          <w:szCs w:val="24"/>
        </w:rPr>
        <w:t>Frontiers in Environmental Science, Volume 10 - 2022</w:t>
      </w:r>
      <w:r w:rsidRPr="00AE57D3">
        <w:rPr>
          <w:rFonts w:ascii="Times New Roman" w:hAnsi="Times New Roman" w:cs="Times New Roman"/>
          <w:sz w:val="24"/>
          <w:szCs w:val="24"/>
        </w:rPr>
        <w:t>. doi: 10.3389/fenvs.2022.1071688</w:t>
      </w:r>
    </w:p>
    <w:p w14:paraId="5082B3AA" w14:textId="77777777" w:rsidR="00AE57D3" w:rsidRPr="00AE57D3" w:rsidRDefault="00AE57D3" w:rsidP="00AE57D3">
      <w:pPr>
        <w:pStyle w:val="EndNoteBibliography"/>
        <w:tabs>
          <w:tab w:val="left" w:pos="360"/>
        </w:tabs>
        <w:ind w:left="360" w:hanging="360"/>
        <w:jc w:val="both"/>
        <w:rPr>
          <w:rFonts w:ascii="Times New Roman" w:hAnsi="Times New Roman" w:cs="Times New Roman"/>
          <w:sz w:val="24"/>
          <w:szCs w:val="24"/>
        </w:rPr>
      </w:pPr>
      <w:r w:rsidRPr="00AE57D3">
        <w:rPr>
          <w:rFonts w:ascii="Times New Roman" w:hAnsi="Times New Roman" w:cs="Times New Roman"/>
          <w:sz w:val="24"/>
          <w:szCs w:val="24"/>
        </w:rPr>
        <w:t xml:space="preserve">Yadav, A., Sachdeva, A., Garg, R. K., Qureshi, K. M., Mewada, B. G., Qureshi, M. R., &amp; Mansour, M. (2024). Achieving Net-Zero in the Manufacturing Supply Chain through Carbon Capture and LCA: A Comprehensive Framework with BWM-Fuzzy DEMATEL. </w:t>
      </w:r>
      <w:r w:rsidRPr="00AE57D3">
        <w:rPr>
          <w:rFonts w:ascii="Times New Roman" w:hAnsi="Times New Roman" w:cs="Times New Roman"/>
          <w:i/>
          <w:sz w:val="24"/>
          <w:szCs w:val="24"/>
        </w:rPr>
        <w:t>Sustainability, 16</w:t>
      </w:r>
      <w:r w:rsidRPr="00AE57D3">
        <w:rPr>
          <w:rFonts w:ascii="Times New Roman" w:hAnsi="Times New Roman" w:cs="Times New Roman"/>
          <w:sz w:val="24"/>
          <w:szCs w:val="24"/>
        </w:rPr>
        <w:t>(16), 6972. Retrieved from  doi:10.3390/su16166972</w:t>
      </w:r>
    </w:p>
    <w:p w14:paraId="2ADC263C" w14:textId="239CC6C8" w:rsidR="00C942AD" w:rsidRPr="00E900B3" w:rsidRDefault="00AE57D3" w:rsidP="00AE57D3">
      <w:pPr>
        <w:tabs>
          <w:tab w:val="left" w:pos="360"/>
        </w:tabs>
        <w:ind w:left="360" w:hanging="360"/>
        <w:jc w:val="both"/>
      </w:pPr>
      <w:r w:rsidRPr="00AE57D3">
        <w:rPr>
          <w:rFonts w:ascii="Times New Roman" w:hAnsi="Times New Roman" w:cs="Times New Roman"/>
          <w:sz w:val="24"/>
          <w:szCs w:val="24"/>
        </w:rPr>
        <w:fldChar w:fldCharType="end"/>
      </w:r>
    </w:p>
    <w:sectPr w:rsidR="00C942AD" w:rsidRPr="00E900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STIX Two Text">
    <w:panose1 w:val="00000000000000000000"/>
    <w:charset w:val="00"/>
    <w:family w:val="auto"/>
    <w:pitch w:val="variable"/>
    <w:sig w:usb0="A00002FF" w:usb1="0000001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5A3"/>
    <w:multiLevelType w:val="multilevel"/>
    <w:tmpl w:val="CD2CB4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520FC3"/>
    <w:multiLevelType w:val="multilevel"/>
    <w:tmpl w:val="89EA763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F6B6577"/>
    <w:multiLevelType w:val="hybridMultilevel"/>
    <w:tmpl w:val="45C6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310759">
    <w:abstractNumId w:val="2"/>
  </w:num>
  <w:num w:numId="2" w16cid:durableId="1639217874">
    <w:abstractNumId w:val="1"/>
  </w:num>
  <w:num w:numId="3" w16cid:durableId="71030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6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950ez96eprpyeafx65vzz4a29z2ew5dxa0&quot;&gt;EV3&lt;record-ids&gt;&lt;item&gt;1&lt;/item&gt;&lt;item&gt;4&lt;/item&gt;&lt;item&gt;6&lt;/item&gt;&lt;item&gt;9&lt;/item&gt;&lt;item&gt;12&lt;/item&gt;&lt;item&gt;14&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5&lt;/item&gt;&lt;item&gt;45&lt;/item&gt;&lt;item&gt;46&lt;/item&gt;&lt;item&gt;47&lt;/item&gt;&lt;item&gt;48&lt;/item&gt;&lt;item&gt;49&lt;/item&gt;&lt;item&gt;51&lt;/item&gt;&lt;/record-ids&gt;&lt;/item&gt;&lt;/Libraries&gt;"/>
  </w:docVars>
  <w:rsids>
    <w:rsidRoot w:val="00E900B3"/>
    <w:rsid w:val="000136FC"/>
    <w:rsid w:val="00190F4C"/>
    <w:rsid w:val="001B1F32"/>
    <w:rsid w:val="002E0346"/>
    <w:rsid w:val="00410365"/>
    <w:rsid w:val="006B6AA1"/>
    <w:rsid w:val="00804942"/>
    <w:rsid w:val="00860957"/>
    <w:rsid w:val="00A35218"/>
    <w:rsid w:val="00A3793C"/>
    <w:rsid w:val="00AE57D3"/>
    <w:rsid w:val="00C92E2F"/>
    <w:rsid w:val="00C942AD"/>
    <w:rsid w:val="00DA6D9C"/>
    <w:rsid w:val="00E41D9D"/>
    <w:rsid w:val="00E900B3"/>
    <w:rsid w:val="00FF6D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B8C7"/>
  <w15:chartTrackingRefBased/>
  <w15:docId w15:val="{80B1C84B-08E4-B644-AA27-0CE043FA8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B3"/>
    <w:pPr>
      <w:spacing w:line="259"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E9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B3"/>
    <w:rPr>
      <w:rFonts w:eastAsiaTheme="majorEastAsia" w:cstheme="majorBidi"/>
      <w:color w:val="272727" w:themeColor="text1" w:themeTint="D8"/>
    </w:rPr>
  </w:style>
  <w:style w:type="paragraph" w:styleId="Title">
    <w:name w:val="Title"/>
    <w:basedOn w:val="Normal"/>
    <w:next w:val="Normal"/>
    <w:link w:val="TitleChar"/>
    <w:uiPriority w:val="10"/>
    <w:qFormat/>
    <w:rsid w:val="00E9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B3"/>
    <w:pPr>
      <w:spacing w:before="160"/>
      <w:jc w:val="center"/>
    </w:pPr>
    <w:rPr>
      <w:i/>
      <w:iCs/>
      <w:color w:val="404040" w:themeColor="text1" w:themeTint="BF"/>
    </w:rPr>
  </w:style>
  <w:style w:type="character" w:customStyle="1" w:styleId="QuoteChar">
    <w:name w:val="Quote Char"/>
    <w:basedOn w:val="DefaultParagraphFont"/>
    <w:link w:val="Quote"/>
    <w:uiPriority w:val="29"/>
    <w:rsid w:val="00E900B3"/>
    <w:rPr>
      <w:i/>
      <w:iCs/>
      <w:color w:val="404040" w:themeColor="text1" w:themeTint="BF"/>
    </w:rPr>
  </w:style>
  <w:style w:type="paragraph" w:styleId="ListParagraph">
    <w:name w:val="List Paragraph"/>
    <w:basedOn w:val="Normal"/>
    <w:uiPriority w:val="34"/>
    <w:qFormat/>
    <w:rsid w:val="00E900B3"/>
    <w:pPr>
      <w:ind w:left="720"/>
      <w:contextualSpacing/>
    </w:pPr>
  </w:style>
  <w:style w:type="character" w:styleId="IntenseEmphasis">
    <w:name w:val="Intense Emphasis"/>
    <w:basedOn w:val="DefaultParagraphFont"/>
    <w:uiPriority w:val="21"/>
    <w:qFormat/>
    <w:rsid w:val="00E900B3"/>
    <w:rPr>
      <w:i/>
      <w:iCs/>
      <w:color w:val="0F4761" w:themeColor="accent1" w:themeShade="BF"/>
    </w:rPr>
  </w:style>
  <w:style w:type="paragraph" w:styleId="IntenseQuote">
    <w:name w:val="Intense Quote"/>
    <w:basedOn w:val="Normal"/>
    <w:next w:val="Normal"/>
    <w:link w:val="IntenseQuoteChar"/>
    <w:uiPriority w:val="30"/>
    <w:qFormat/>
    <w:rsid w:val="00E9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0B3"/>
    <w:rPr>
      <w:i/>
      <w:iCs/>
      <w:color w:val="0F4761" w:themeColor="accent1" w:themeShade="BF"/>
    </w:rPr>
  </w:style>
  <w:style w:type="character" w:styleId="IntenseReference">
    <w:name w:val="Intense Reference"/>
    <w:basedOn w:val="DefaultParagraphFont"/>
    <w:uiPriority w:val="32"/>
    <w:qFormat/>
    <w:rsid w:val="00E900B3"/>
    <w:rPr>
      <w:b/>
      <w:bCs/>
      <w:smallCaps/>
      <w:color w:val="0F4761" w:themeColor="accent1" w:themeShade="BF"/>
      <w:spacing w:val="5"/>
    </w:rPr>
  </w:style>
  <w:style w:type="table" w:styleId="TableGrid">
    <w:name w:val="Table Grid"/>
    <w:basedOn w:val="TableNormal"/>
    <w:uiPriority w:val="39"/>
    <w:rsid w:val="00E900B3"/>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900B3"/>
    <w:pPr>
      <w:spacing w:after="0" w:line="240" w:lineRule="auto"/>
    </w:pPr>
    <w:rPr>
      <w:rFonts w:ascii="STIX Two Text" w:eastAsia="Times New Roman" w:hAnsi="STIX Two Text" w:cs="Times New Roman"/>
      <w:color w:val="141413"/>
      <w:sz w:val="14"/>
      <w:szCs w:val="14"/>
      <w:lang w:eastAsia="ja-JP"/>
    </w:rPr>
  </w:style>
  <w:style w:type="character" w:styleId="Hyperlink">
    <w:name w:val="Hyperlink"/>
    <w:basedOn w:val="DefaultParagraphFont"/>
    <w:uiPriority w:val="99"/>
    <w:unhideWhenUsed/>
    <w:rsid w:val="00DA6D9C"/>
    <w:rPr>
      <w:color w:val="467886" w:themeColor="hyperlink"/>
      <w:u w:val="single"/>
    </w:rPr>
  </w:style>
  <w:style w:type="character" w:customStyle="1" w:styleId="UnresolvedMention1">
    <w:name w:val="Unresolved Mention1"/>
    <w:basedOn w:val="DefaultParagraphFont"/>
    <w:uiPriority w:val="99"/>
    <w:semiHidden/>
    <w:unhideWhenUsed/>
    <w:rsid w:val="00DA6D9C"/>
    <w:rPr>
      <w:color w:val="605E5C"/>
      <w:shd w:val="clear" w:color="auto" w:fill="E1DFDD"/>
    </w:rPr>
  </w:style>
  <w:style w:type="paragraph" w:customStyle="1" w:styleId="EndNoteBibliographyTitle">
    <w:name w:val="EndNote Bibliography Title"/>
    <w:basedOn w:val="Normal"/>
    <w:link w:val="EndNoteBibliographyTitleChar"/>
    <w:rsid w:val="00AE57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E57D3"/>
    <w:rPr>
      <w:rFonts w:ascii="Aptos" w:eastAsiaTheme="minorHAnsi" w:hAnsi="Aptos"/>
      <w:noProof/>
      <w:kern w:val="0"/>
      <w:sz w:val="22"/>
      <w:szCs w:val="22"/>
      <w:lang w:eastAsia="en-US"/>
      <w14:ligatures w14:val="none"/>
    </w:rPr>
  </w:style>
  <w:style w:type="paragraph" w:customStyle="1" w:styleId="EndNoteBibliography">
    <w:name w:val="EndNote Bibliography"/>
    <w:basedOn w:val="Normal"/>
    <w:link w:val="EndNoteBibliographyChar"/>
    <w:rsid w:val="00AE57D3"/>
    <w:pPr>
      <w:spacing w:line="240" w:lineRule="auto"/>
      <w:jc w:val="center"/>
    </w:pPr>
    <w:rPr>
      <w:rFonts w:ascii="Aptos" w:hAnsi="Aptos"/>
      <w:noProof/>
    </w:rPr>
  </w:style>
  <w:style w:type="character" w:customStyle="1" w:styleId="EndNoteBibliographyChar">
    <w:name w:val="EndNote Bibliography Char"/>
    <w:basedOn w:val="DefaultParagraphFont"/>
    <w:link w:val="EndNoteBibliography"/>
    <w:rsid w:val="00AE57D3"/>
    <w:rPr>
      <w:rFonts w:ascii="Aptos" w:eastAsiaTheme="minorHAnsi" w:hAnsi="Aptos"/>
      <w:noProof/>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051/T-ESSI/01.03.02" TargetMode="External"/><Relationship Id="rId13" Type="http://schemas.openxmlformats.org/officeDocument/2006/relationships/hyperlink" Target="https://doi.org/10.1016/j.gloenvcha.2022.102573" TargetMode="External"/><Relationship Id="rId18" Type="http://schemas.openxmlformats.org/officeDocument/2006/relationships/hyperlink" Target="https://doi.org/10.1016/j.apenergy.2024.12354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j.jclepro.2022.134066" TargetMode="External"/><Relationship Id="rId7" Type="http://schemas.openxmlformats.org/officeDocument/2006/relationships/hyperlink" Target="https://doi.org/10.1016/j.rser.2025.116372" TargetMode="External"/><Relationship Id="rId12" Type="http://schemas.openxmlformats.org/officeDocument/2006/relationships/hyperlink" Target="https://doi.org/10.14203/j.mev.2023.v14.94-104" TargetMode="External"/><Relationship Id="rId17" Type="http://schemas.openxmlformats.org/officeDocument/2006/relationships/hyperlink" Target="https://doi.org/10.1016/j.resconrec.2023.10696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heliyon.2024.e37423" TargetMode="External"/><Relationship Id="rId20" Type="http://schemas.openxmlformats.org/officeDocument/2006/relationships/hyperlink" Target="https://doi.org/10.1002/bse.3905" TargetMode="External"/><Relationship Id="rId1" Type="http://schemas.openxmlformats.org/officeDocument/2006/relationships/numbering" Target="numbering.xml"/><Relationship Id="rId6" Type="http://schemas.openxmlformats.org/officeDocument/2006/relationships/hyperlink" Target="https://github.com/Alfarisi006/EV-Dynamic-Risk-based" TargetMode="External"/><Relationship Id="rId11" Type="http://schemas.openxmlformats.org/officeDocument/2006/relationships/hyperlink" Target="https://doi.org/10.1016/j.aej.2021.03.021" TargetMode="External"/><Relationship Id="rId24" Type="http://schemas.openxmlformats.org/officeDocument/2006/relationships/hyperlink" Target="https://doi.org/10.1016/j.envsci.2022.09.008" TargetMode="External"/><Relationship Id="rId5" Type="http://schemas.openxmlformats.org/officeDocument/2006/relationships/image" Target="media/image1.png"/><Relationship Id="rId15" Type="http://schemas.openxmlformats.org/officeDocument/2006/relationships/hyperlink" Target="https://doi.org/10.1016/j.eneco.2024.107441" TargetMode="External"/><Relationship Id="rId23" Type="http://schemas.openxmlformats.org/officeDocument/2006/relationships/hyperlink" Target="https://doi.org/10.1016/j.jenvman.2023.119242" TargetMode="External"/><Relationship Id="rId10" Type="http://schemas.openxmlformats.org/officeDocument/2006/relationships/hyperlink" Target="https://doi.org/10.38124/ijisrt/25aug987" TargetMode="External"/><Relationship Id="rId19" Type="http://schemas.openxmlformats.org/officeDocument/2006/relationships/hyperlink" Target="https://doi.org/10.1016/j.ijpe.2015.05.025" TargetMode="External"/><Relationship Id="rId4" Type="http://schemas.openxmlformats.org/officeDocument/2006/relationships/webSettings" Target="webSettings.xml"/><Relationship Id="rId9" Type="http://schemas.openxmlformats.org/officeDocument/2006/relationships/hyperlink" Target="https://doi.org/10.38124/ijisrt/25aug987" TargetMode="External"/><Relationship Id="rId14" Type="http://schemas.openxmlformats.org/officeDocument/2006/relationships/hyperlink" Target="https://doi.org/10.1016/j.est.2025.118989" TargetMode="External"/><Relationship Id="rId22" Type="http://schemas.openxmlformats.org/officeDocument/2006/relationships/hyperlink" Target="https://doi.org/10.1002/bse.3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1630</TotalTime>
  <Pages>13</Pages>
  <Words>15982</Words>
  <Characters>91099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Alfarisi</dc:creator>
  <cp:keywords/>
  <dc:description/>
  <cp:lastModifiedBy>Salman Alfarisi</cp:lastModifiedBy>
  <cp:revision>8</cp:revision>
  <dcterms:created xsi:type="dcterms:W3CDTF">2026-05-14T06:06:00Z</dcterms:created>
  <dcterms:modified xsi:type="dcterms:W3CDTF">2026-05-21T03:10:00Z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76201f22-7193-44ae-b45e-2909fafd78b1</vt:lpwstr>
  </property>
</Properties>
</file>