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FD4" w:rsidRDefault="004E7E0F" w:rsidP="00151FD4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Matrix Evaluation 10 expert to 15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572"/>
        <w:gridCol w:w="572"/>
        <w:gridCol w:w="572"/>
        <w:gridCol w:w="572"/>
        <w:gridCol w:w="572"/>
        <w:gridCol w:w="571"/>
        <w:gridCol w:w="571"/>
        <w:gridCol w:w="573"/>
        <w:gridCol w:w="573"/>
        <w:gridCol w:w="573"/>
        <w:gridCol w:w="571"/>
        <w:gridCol w:w="571"/>
        <w:gridCol w:w="571"/>
        <w:gridCol w:w="571"/>
        <w:gridCol w:w="571"/>
      </w:tblGrid>
      <w:tr w:rsidR="004E7E0F" w:rsidRPr="00151FD4" w:rsidTr="00D60EF0">
        <w:trPr>
          <w:trHeight w:val="300"/>
        </w:trPr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Expert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TR1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TR2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TR3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TR4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CP1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CP2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CP3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GR1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GR2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GR3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EC1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EC2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EC3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EN1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EN2</w:t>
            </w:r>
          </w:p>
        </w:tc>
      </w:tr>
      <w:tr w:rsidR="004E7E0F" w:rsidRPr="00151FD4" w:rsidTr="00D60EF0">
        <w:trPr>
          <w:trHeight w:val="300"/>
        </w:trPr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EX1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</w:tr>
      <w:tr w:rsidR="004E7E0F" w:rsidRPr="00151FD4" w:rsidTr="00D60EF0">
        <w:trPr>
          <w:trHeight w:val="300"/>
        </w:trPr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EX2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2</w:t>
            </w:r>
          </w:p>
        </w:tc>
      </w:tr>
      <w:tr w:rsidR="004E7E0F" w:rsidRPr="00151FD4" w:rsidTr="00D60EF0">
        <w:trPr>
          <w:trHeight w:val="300"/>
        </w:trPr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EX3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</w:tr>
      <w:tr w:rsidR="004E7E0F" w:rsidRPr="00151FD4" w:rsidTr="00D60EF0">
        <w:trPr>
          <w:trHeight w:val="300"/>
        </w:trPr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EX4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</w:tr>
      <w:tr w:rsidR="004E7E0F" w:rsidRPr="00151FD4" w:rsidTr="00D60EF0">
        <w:trPr>
          <w:trHeight w:val="300"/>
        </w:trPr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EX5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2</w:t>
            </w:r>
          </w:p>
        </w:tc>
      </w:tr>
      <w:tr w:rsidR="004E7E0F" w:rsidRPr="00151FD4" w:rsidTr="00D60EF0">
        <w:trPr>
          <w:trHeight w:val="300"/>
        </w:trPr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EX6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</w:tr>
      <w:tr w:rsidR="004E7E0F" w:rsidRPr="00151FD4" w:rsidTr="00D60EF0">
        <w:trPr>
          <w:trHeight w:val="300"/>
        </w:trPr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EX7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2</w:t>
            </w:r>
          </w:p>
        </w:tc>
      </w:tr>
      <w:tr w:rsidR="004E7E0F" w:rsidRPr="00151FD4" w:rsidTr="00D60EF0">
        <w:trPr>
          <w:trHeight w:val="300"/>
        </w:trPr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EX8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</w:tr>
      <w:tr w:rsidR="004E7E0F" w:rsidRPr="00151FD4" w:rsidTr="00D60EF0">
        <w:trPr>
          <w:trHeight w:val="300"/>
        </w:trPr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EX9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2</w:t>
            </w:r>
          </w:p>
        </w:tc>
      </w:tr>
      <w:tr w:rsidR="004E7E0F" w:rsidRPr="00151FD4" w:rsidTr="00D60EF0">
        <w:trPr>
          <w:trHeight w:val="300"/>
        </w:trPr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EX10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5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4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5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  <w:tc>
          <w:tcPr>
            <w:tcW w:w="584" w:type="dxa"/>
            <w:noWrap/>
            <w:hideMark/>
          </w:tcPr>
          <w:p w:rsidR="004E7E0F" w:rsidRPr="00151FD4" w:rsidRDefault="004E7E0F" w:rsidP="00D60EF0">
            <w:r w:rsidRPr="00151FD4">
              <w:t>3</w:t>
            </w:r>
          </w:p>
        </w:tc>
      </w:tr>
    </w:tbl>
    <w:p w:rsidR="004E7E0F" w:rsidRDefault="004E7E0F" w:rsidP="00151FD4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4E7E0F" w:rsidRDefault="004E7E0F" w:rsidP="00151FD4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151FD4" w:rsidRDefault="00151FD4" w:rsidP="00151F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Normalization (with m = 10 experts</w:t>
      </w:r>
      <w:proofErr w:type="gramStart"/>
      <w:r>
        <w:rPr>
          <w:rStyle w:val="Strong"/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</w:rPr>
        <w:t>pij</w:t>
      </w:r>
      <w:proofErr w:type="spellEnd"/>
      <w:r>
        <w:rPr>
          <w:rStyle w:val="katex-mathml"/>
          <w:color w:val="0F1115"/>
          <w:sz w:val="29"/>
          <w:szCs w:val="29"/>
          <w:bdr w:val="none" w:sz="0" w:space="0" w:color="auto" w:frame="1"/>
        </w:rPr>
        <w:t>=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</w:rPr>
        <w:t>xij∑i</w:t>
      </w:r>
      <w:proofErr w:type="spellEnd"/>
      <w:r>
        <w:rPr>
          <w:rStyle w:val="katex-mathml"/>
          <w:color w:val="0F1115"/>
          <w:sz w:val="29"/>
          <w:szCs w:val="29"/>
          <w:bdr w:val="none" w:sz="0" w:space="0" w:color="auto" w:frame="1"/>
        </w:rPr>
        <w:t>=110xij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p</w:t>
      </w:r>
      <w:r>
        <w:rPr>
          <w:rStyle w:val="mord"/>
          <w:rFonts w:ascii="KaTeX_Math" w:hAnsi="KaTeX_Math"/>
          <w:i/>
          <w:iCs/>
          <w:color w:val="0F1115"/>
          <w:sz w:val="20"/>
          <w:szCs w:val="20"/>
        </w:rPr>
        <w:t>ij</w:t>
      </w:r>
      <w:r>
        <w:rPr>
          <w:rStyle w:val="vlist-s"/>
          <w:color w:val="0F1115"/>
          <w:sz w:val="2"/>
          <w:szCs w:val="2"/>
        </w:rPr>
        <w:t>​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p"/>
          <w:rFonts w:ascii="KaTeX_Size1" w:hAnsi="KaTeX_Size1"/>
          <w:color w:val="0F1115"/>
          <w:sz w:val="20"/>
          <w:szCs w:val="20"/>
        </w:rPr>
        <w:t>∑</w:t>
      </w:r>
      <w:proofErr w:type="spellStart"/>
      <w:r>
        <w:rPr>
          <w:rStyle w:val="mord"/>
          <w:rFonts w:ascii="KaTeX_Math" w:hAnsi="KaTeX_Math"/>
          <w:i/>
          <w:iCs/>
          <w:color w:val="0F1115"/>
          <w:sz w:val="14"/>
          <w:szCs w:val="14"/>
        </w:rPr>
        <w:t>i</w:t>
      </w:r>
      <w:proofErr w:type="spellEnd"/>
      <w:r>
        <w:rPr>
          <w:rStyle w:val="mrel"/>
          <w:color w:val="0F1115"/>
          <w:sz w:val="14"/>
          <w:szCs w:val="14"/>
        </w:rPr>
        <w:t>=</w:t>
      </w:r>
      <w:r>
        <w:rPr>
          <w:rStyle w:val="mord"/>
          <w:color w:val="0F1115"/>
          <w:sz w:val="14"/>
          <w:szCs w:val="14"/>
        </w:rPr>
        <w:t>1</w:t>
      </w:r>
      <w:r>
        <w:rPr>
          <w:rStyle w:val="mord"/>
          <w:rFonts w:ascii="KaTeX_Main" w:hAnsi="KaTeX_Main"/>
          <w:b/>
          <w:bCs/>
          <w:color w:val="0F1115"/>
          <w:sz w:val="14"/>
          <w:szCs w:val="14"/>
        </w:rPr>
        <w:t>10</w:t>
      </w:r>
      <w:r>
        <w:rPr>
          <w:rStyle w:val="vlist-s"/>
          <w:color w:val="0F1115"/>
          <w:sz w:val="2"/>
          <w:szCs w:val="2"/>
        </w:rPr>
        <w:t>​</w:t>
      </w:r>
      <w:proofErr w:type="spellStart"/>
      <w:r>
        <w:rPr>
          <w:rStyle w:val="mord"/>
          <w:rFonts w:ascii="KaTeX_Math" w:hAnsi="KaTeX_Math"/>
          <w:i/>
          <w:iCs/>
          <w:color w:val="0F1115"/>
          <w:sz w:val="20"/>
          <w:szCs w:val="20"/>
        </w:rPr>
        <w:t>x</w:t>
      </w:r>
      <w:r>
        <w:rPr>
          <w:rStyle w:val="mord"/>
          <w:rFonts w:ascii="KaTeX_Math" w:hAnsi="KaTeX_Math"/>
          <w:i/>
          <w:iCs/>
          <w:color w:val="0F1115"/>
          <w:sz w:val="14"/>
          <w:szCs w:val="14"/>
        </w:rPr>
        <w:t>ij</w:t>
      </w:r>
      <w:proofErr w:type="spellEnd"/>
      <w:r>
        <w:rPr>
          <w:rStyle w:val="vlist-s"/>
          <w:color w:val="0F1115"/>
          <w:sz w:val="2"/>
          <w:szCs w:val="2"/>
        </w:rPr>
        <w:t>​</w:t>
      </w:r>
      <w:proofErr w:type="spellStart"/>
      <w:r>
        <w:rPr>
          <w:rStyle w:val="mord"/>
          <w:rFonts w:ascii="KaTeX_Math" w:hAnsi="KaTeX_Math"/>
          <w:i/>
          <w:iCs/>
          <w:color w:val="0F1115"/>
          <w:sz w:val="20"/>
          <w:szCs w:val="20"/>
        </w:rPr>
        <w:t>x</w:t>
      </w:r>
      <w:r>
        <w:rPr>
          <w:rStyle w:val="mord"/>
          <w:rFonts w:ascii="KaTeX_Math" w:hAnsi="KaTeX_Math"/>
          <w:i/>
          <w:iCs/>
          <w:color w:val="0F1115"/>
          <w:sz w:val="14"/>
          <w:szCs w:val="14"/>
        </w:rPr>
        <w:t>ij</w:t>
      </w:r>
      <w:proofErr w:type="spellEnd"/>
      <w:r>
        <w:rPr>
          <w:rStyle w:val="vlist-s"/>
          <w:color w:val="0F1115"/>
          <w:sz w:val="2"/>
          <w:szCs w:val="2"/>
        </w:rPr>
        <w:t>​​</w:t>
      </w:r>
    </w:p>
    <w:p w:rsidR="00151FD4" w:rsidRDefault="00151FD4" w:rsidP="00151F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Entropy Value Calculation (with m = 10)</w:t>
      </w:r>
      <w:r>
        <w:rPr>
          <w:rFonts w:ascii="Segoe UI" w:hAnsi="Segoe UI" w:cs="Segoe UI"/>
          <w:color w:val="0F1115"/>
        </w:rPr>
        <w:br/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ej=−k∑i=110pijln⁡(pij)wherek=1ln⁡(10)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e</w:t>
      </w:r>
      <w:r>
        <w:rPr>
          <w:rStyle w:val="mord"/>
          <w:rFonts w:ascii="KaTeX_Math" w:hAnsi="KaTeX_Math" w:cs="Segoe UI"/>
          <w:i/>
          <w:iCs/>
          <w:color w:val="0F1115"/>
          <w:sz w:val="20"/>
          <w:szCs w:val="20"/>
        </w:rPr>
        <w:t>j</w:t>
      </w:r>
      <w:r>
        <w:rPr>
          <w:rStyle w:val="vlist-s"/>
          <w:rFonts w:ascii="KaTeX_Main" w:hAnsi="KaTeX_Main" w:cs="Segoe UI"/>
          <w:color w:val="0F1115"/>
          <w:sz w:val="2"/>
          <w:szCs w:val="2"/>
        </w:rPr>
        <w:t>​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−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k</w:t>
      </w:r>
      <w:r>
        <w:rPr>
          <w:rStyle w:val="mop"/>
          <w:rFonts w:ascii="KaTeX_Size1" w:hAnsi="KaTeX_Size1" w:cs="Segoe UI"/>
          <w:color w:val="0F1115"/>
          <w:sz w:val="29"/>
          <w:szCs w:val="29"/>
        </w:rPr>
        <w:t>∑</w:t>
      </w:r>
      <w:r>
        <w:rPr>
          <w:rStyle w:val="mord"/>
          <w:rFonts w:ascii="KaTeX_Math" w:hAnsi="KaTeX_Math" w:cs="Segoe UI"/>
          <w:i/>
          <w:iCs/>
          <w:color w:val="0F1115"/>
          <w:sz w:val="20"/>
          <w:szCs w:val="20"/>
        </w:rPr>
        <w:t>i</w:t>
      </w:r>
      <w:r>
        <w:rPr>
          <w:rStyle w:val="mrel"/>
          <w:rFonts w:ascii="KaTeX_Main" w:hAnsi="KaTeX_Main" w:cs="Segoe UI"/>
          <w:color w:val="0F1115"/>
          <w:sz w:val="20"/>
          <w:szCs w:val="20"/>
        </w:rPr>
        <w:t>=</w:t>
      </w:r>
      <w:r>
        <w:rPr>
          <w:rStyle w:val="mord"/>
          <w:rFonts w:ascii="KaTeX_Main" w:hAnsi="KaTeX_Main" w:cs="Segoe UI"/>
          <w:color w:val="0F1115"/>
          <w:sz w:val="20"/>
          <w:szCs w:val="20"/>
        </w:rPr>
        <w:t>1</w:t>
      </w:r>
      <w:r>
        <w:rPr>
          <w:rStyle w:val="mord"/>
          <w:rFonts w:ascii="KaTeX_Main" w:hAnsi="KaTeX_Main" w:cs="Segoe UI"/>
          <w:b/>
          <w:bCs/>
          <w:color w:val="0F1115"/>
          <w:sz w:val="20"/>
          <w:szCs w:val="20"/>
        </w:rPr>
        <w:t>10</w:t>
      </w:r>
      <w:r>
        <w:rPr>
          <w:rStyle w:val="vlist-s"/>
          <w:rFonts w:ascii="KaTeX_Main" w:hAnsi="KaTeX_Main" w:cs="Segoe UI"/>
          <w:color w:val="0F1115"/>
          <w:sz w:val="2"/>
          <w:szCs w:val="2"/>
        </w:rPr>
        <w:t>​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p</w:t>
      </w:r>
      <w:r>
        <w:rPr>
          <w:rStyle w:val="mord"/>
          <w:rFonts w:ascii="KaTeX_Math" w:hAnsi="KaTeX_Math" w:cs="Segoe UI"/>
          <w:i/>
          <w:iCs/>
          <w:color w:val="0F1115"/>
          <w:sz w:val="20"/>
          <w:szCs w:val="20"/>
        </w:rPr>
        <w:t>ij</w:t>
      </w:r>
      <w:r>
        <w:rPr>
          <w:rStyle w:val="vlist-s"/>
          <w:rFonts w:ascii="KaTeX_Main" w:hAnsi="KaTeX_Main" w:cs="Segoe UI"/>
          <w:color w:val="0F1115"/>
          <w:sz w:val="2"/>
          <w:szCs w:val="2"/>
        </w:rPr>
        <w:t>​</w:t>
      </w:r>
      <w:r>
        <w:rPr>
          <w:rStyle w:val="mop"/>
          <w:rFonts w:ascii="KaTeX_Main" w:hAnsi="KaTeX_Main" w:cs="Segoe UI"/>
          <w:color w:val="0F1115"/>
          <w:sz w:val="29"/>
          <w:szCs w:val="29"/>
        </w:rPr>
        <w:t>ln</w:t>
      </w:r>
      <w:r>
        <w:rPr>
          <w:rStyle w:val="mopen"/>
          <w:rFonts w:ascii="KaTeX_Main" w:hAnsi="KaTeX_Main" w:cs="Segoe UI"/>
          <w:color w:val="0F1115"/>
          <w:sz w:val="29"/>
          <w:szCs w:val="29"/>
        </w:rPr>
        <w:t>(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p</w:t>
      </w:r>
      <w:r>
        <w:rPr>
          <w:rStyle w:val="mord"/>
          <w:rFonts w:ascii="KaTeX_Math" w:hAnsi="KaTeX_Math" w:cs="Segoe UI"/>
          <w:i/>
          <w:iCs/>
          <w:color w:val="0F1115"/>
          <w:sz w:val="20"/>
          <w:szCs w:val="20"/>
        </w:rPr>
        <w:t>ij</w:t>
      </w:r>
      <w:r>
        <w:rPr>
          <w:rStyle w:val="vlist-s"/>
          <w:rFonts w:ascii="KaTeX_Main" w:hAnsi="KaTeX_Main" w:cs="Segoe UI"/>
          <w:color w:val="0F1115"/>
          <w:sz w:val="2"/>
          <w:szCs w:val="2"/>
        </w:rPr>
        <w:t>​</w:t>
      </w:r>
      <w:r>
        <w:rPr>
          <w:rStyle w:val="mclose"/>
          <w:rFonts w:ascii="KaTeX_Main" w:hAnsi="KaTeX_Main" w:cs="Segoe UI"/>
          <w:color w:val="0F1115"/>
          <w:sz w:val="29"/>
          <w:szCs w:val="29"/>
        </w:rPr>
        <w:t>)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where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k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tight"/>
          <w:rFonts w:ascii="KaTeX_Main" w:hAnsi="KaTeX_Main" w:cs="Segoe UI"/>
          <w:color w:val="0F1115"/>
          <w:sz w:val="20"/>
          <w:szCs w:val="20"/>
        </w:rPr>
        <w:t>ln</w:t>
      </w:r>
      <w:r>
        <w:rPr>
          <w:rStyle w:val="mopen"/>
          <w:rFonts w:ascii="KaTeX_Main" w:hAnsi="KaTeX_Main" w:cs="Segoe UI"/>
          <w:color w:val="0F1115"/>
          <w:sz w:val="20"/>
          <w:szCs w:val="20"/>
        </w:rPr>
        <w:t>(</w:t>
      </w:r>
      <w:r>
        <w:rPr>
          <w:rStyle w:val="mord"/>
          <w:rFonts w:ascii="KaTeX_Main" w:hAnsi="KaTeX_Main" w:cs="Segoe UI"/>
          <w:b/>
          <w:bCs/>
          <w:color w:val="0F1115"/>
          <w:sz w:val="20"/>
          <w:szCs w:val="20"/>
        </w:rPr>
        <w:t>10</w:t>
      </w:r>
      <w:r>
        <w:rPr>
          <w:rStyle w:val="mclose"/>
          <w:rFonts w:ascii="KaTeX_Main" w:hAnsi="KaTeX_Main" w:cs="Segoe UI"/>
          <w:color w:val="0F1115"/>
          <w:sz w:val="20"/>
          <w:szCs w:val="20"/>
        </w:rPr>
        <w:t>)</w:t>
      </w:r>
      <w:r>
        <w:rPr>
          <w:rStyle w:val="mord"/>
          <w:rFonts w:ascii="KaTeX_Main" w:hAnsi="KaTeX_Main" w:cs="Segoe UI"/>
          <w:color w:val="0F1115"/>
          <w:sz w:val="20"/>
          <w:szCs w:val="20"/>
        </w:rPr>
        <w:t>1</w:t>
      </w:r>
      <w:r>
        <w:rPr>
          <w:rStyle w:val="vlist-s"/>
          <w:rFonts w:ascii="KaTeX_Main" w:hAnsi="KaTeX_Main" w:cs="Segoe UI"/>
          <w:color w:val="0F1115"/>
          <w:sz w:val="2"/>
          <w:szCs w:val="2"/>
        </w:rPr>
        <w:t>​</w:t>
      </w:r>
    </w:p>
    <w:p w:rsidR="00151FD4" w:rsidRDefault="00151FD4" w:rsidP="00151FD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Steps 3–4:</w:t>
      </w:r>
      <w:r>
        <w:rPr>
          <w:rFonts w:ascii="Segoe UI" w:hAnsi="Segoe UI" w:cs="Segoe UI"/>
          <w:color w:val="0F1115"/>
        </w:rPr>
        <w:t> Diversification degree </w:t>
      </w:r>
      <w:proofErr w:type="spellStart"/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dj</w:t>
      </w:r>
      <w:proofErr w:type="spellEnd"/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=1−ej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d</w:t>
      </w:r>
      <w:r>
        <w:rPr>
          <w:rStyle w:val="mord"/>
          <w:rFonts w:ascii="KaTeX_Math" w:hAnsi="KaTeX_Math" w:cs="Segoe UI"/>
          <w:i/>
          <w:iCs/>
          <w:color w:val="0F1115"/>
          <w:sz w:val="20"/>
          <w:szCs w:val="20"/>
        </w:rPr>
        <w:t>j</w:t>
      </w:r>
      <w:r>
        <w:rPr>
          <w:rStyle w:val="vlist-s"/>
          <w:rFonts w:ascii="KaTeX_Main" w:hAnsi="KaTeX_Main" w:cs="Segoe UI"/>
          <w:color w:val="0F1115"/>
          <w:sz w:val="2"/>
          <w:szCs w:val="2"/>
        </w:rPr>
        <w:t>​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1</w:t>
      </w:r>
      <w:r>
        <w:rPr>
          <w:rStyle w:val="mbin"/>
          <w:rFonts w:ascii="KaTeX_Main" w:hAnsi="KaTeX_Main" w:cs="Segoe UI"/>
          <w:color w:val="0F1115"/>
          <w:sz w:val="29"/>
          <w:szCs w:val="29"/>
        </w:rPr>
        <w:t>−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e</w:t>
      </w:r>
      <w:r>
        <w:rPr>
          <w:rStyle w:val="mord"/>
          <w:rFonts w:ascii="KaTeX_Math" w:hAnsi="KaTeX_Math" w:cs="Segoe UI"/>
          <w:i/>
          <w:iCs/>
          <w:color w:val="0F1115"/>
          <w:sz w:val="20"/>
          <w:szCs w:val="20"/>
        </w:rPr>
        <w:t>j</w:t>
      </w:r>
      <w:proofErr w:type="gramStart"/>
      <w:r>
        <w:rPr>
          <w:rStyle w:val="vlist-s"/>
          <w:rFonts w:ascii="KaTeX_Main" w:hAnsi="KaTeX_Main" w:cs="Segoe UI"/>
          <w:color w:val="0F1115"/>
          <w:sz w:val="2"/>
          <w:szCs w:val="2"/>
        </w:rPr>
        <w:t>​</w:t>
      </w:r>
      <w:r>
        <w:rPr>
          <w:rFonts w:ascii="Segoe UI" w:hAnsi="Segoe UI" w:cs="Segoe UI"/>
          <w:color w:val="0F1115"/>
        </w:rPr>
        <w:t> and</w:t>
      </w:r>
      <w:proofErr w:type="gramEnd"/>
      <w:r>
        <w:rPr>
          <w:rFonts w:ascii="Segoe UI" w:hAnsi="Segoe UI" w:cs="Segoe UI"/>
          <w:color w:val="0F1115"/>
        </w:rPr>
        <w:t xml:space="preserve"> normalized weight </w:t>
      </w:r>
      <w:proofErr w:type="spellStart"/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wj</w:t>
      </w:r>
      <w:proofErr w:type="spellEnd"/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=</w:t>
      </w:r>
      <w:proofErr w:type="spellStart"/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dj</w:t>
      </w:r>
      <w:proofErr w:type="spellEnd"/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/∑j=115dj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w</w:t>
      </w:r>
      <w:r>
        <w:rPr>
          <w:rStyle w:val="mord"/>
          <w:rFonts w:ascii="KaTeX_Math" w:hAnsi="KaTeX_Math" w:cs="Segoe UI"/>
          <w:i/>
          <w:iCs/>
          <w:color w:val="0F1115"/>
          <w:sz w:val="20"/>
          <w:szCs w:val="20"/>
        </w:rPr>
        <w:t>j</w:t>
      </w:r>
      <w:r>
        <w:rPr>
          <w:rStyle w:val="vlist-s"/>
          <w:rFonts w:ascii="KaTeX_Main" w:hAnsi="KaTeX_Main" w:cs="Segoe UI"/>
          <w:color w:val="0F1115"/>
          <w:sz w:val="2"/>
          <w:szCs w:val="2"/>
        </w:rPr>
        <w:t>​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proofErr w:type="spellStart"/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d</w:t>
      </w:r>
      <w:r>
        <w:rPr>
          <w:rStyle w:val="mord"/>
          <w:rFonts w:ascii="KaTeX_Math" w:hAnsi="KaTeX_Math" w:cs="Segoe UI"/>
          <w:i/>
          <w:iCs/>
          <w:color w:val="0F1115"/>
          <w:sz w:val="20"/>
          <w:szCs w:val="20"/>
        </w:rPr>
        <w:t>j</w:t>
      </w:r>
      <w:proofErr w:type="spellEnd"/>
      <w:r>
        <w:rPr>
          <w:rStyle w:val="vlist-s"/>
          <w:rFonts w:ascii="KaTeX_Main" w:hAnsi="KaTeX_Main" w:cs="Segoe UI"/>
          <w:color w:val="0F1115"/>
          <w:sz w:val="2"/>
          <w:szCs w:val="2"/>
        </w:rPr>
        <w:t>​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/</w:t>
      </w:r>
      <w:r>
        <w:rPr>
          <w:rStyle w:val="mop"/>
          <w:rFonts w:ascii="KaTeX_Size1" w:hAnsi="KaTeX_Size1" w:cs="Segoe UI"/>
          <w:color w:val="0F1115"/>
          <w:sz w:val="29"/>
          <w:szCs w:val="29"/>
        </w:rPr>
        <w:t>∑</w:t>
      </w:r>
      <w:r>
        <w:rPr>
          <w:rStyle w:val="mord"/>
          <w:rFonts w:ascii="KaTeX_Math" w:hAnsi="KaTeX_Math" w:cs="Segoe UI"/>
          <w:i/>
          <w:iCs/>
          <w:color w:val="0F1115"/>
          <w:sz w:val="20"/>
          <w:szCs w:val="20"/>
        </w:rPr>
        <w:t>j</w:t>
      </w:r>
      <w:r>
        <w:rPr>
          <w:rStyle w:val="mrel"/>
          <w:rFonts w:ascii="KaTeX_Main" w:hAnsi="KaTeX_Main" w:cs="Segoe UI"/>
          <w:color w:val="0F1115"/>
          <w:sz w:val="20"/>
          <w:szCs w:val="20"/>
        </w:rPr>
        <w:t>=</w:t>
      </w:r>
      <w:r>
        <w:rPr>
          <w:rStyle w:val="mord"/>
          <w:rFonts w:ascii="KaTeX_Main" w:hAnsi="KaTeX_Main" w:cs="Segoe UI"/>
          <w:color w:val="0F1115"/>
          <w:sz w:val="20"/>
          <w:szCs w:val="20"/>
        </w:rPr>
        <w:t>115</w:t>
      </w:r>
      <w:r>
        <w:rPr>
          <w:rStyle w:val="vlist-s"/>
          <w:rFonts w:ascii="KaTeX_Main" w:hAnsi="KaTeX_Main" w:cs="Segoe UI"/>
          <w:color w:val="0F1115"/>
          <w:sz w:val="2"/>
          <w:szCs w:val="2"/>
        </w:rPr>
        <w:t>​</w:t>
      </w:r>
      <w:proofErr w:type="spellStart"/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d</w:t>
      </w:r>
      <w:r>
        <w:rPr>
          <w:rStyle w:val="mord"/>
          <w:rFonts w:ascii="KaTeX_Math" w:hAnsi="KaTeX_Math" w:cs="Segoe UI"/>
          <w:i/>
          <w:iCs/>
          <w:color w:val="0F1115"/>
          <w:sz w:val="20"/>
          <w:szCs w:val="20"/>
        </w:rPr>
        <w:t>j</w:t>
      </w:r>
      <w:proofErr w:type="spellEnd"/>
      <w:r>
        <w:rPr>
          <w:rStyle w:val="vlist-s"/>
          <w:rFonts w:ascii="KaTeX_Main" w:hAnsi="KaTeX_Main" w:cs="Segoe UI"/>
          <w:color w:val="0F1115"/>
          <w:sz w:val="2"/>
          <w:szCs w:val="2"/>
        </w:rPr>
        <w:t>​</w:t>
      </w:r>
      <w:r>
        <w:rPr>
          <w:rFonts w:ascii="Segoe UI" w:hAnsi="Segoe UI" w:cs="Segoe UI"/>
          <w:color w:val="0F1115"/>
        </w:rPr>
        <w:t> follow identical formulations.</w:t>
      </w:r>
    </w:p>
    <w:p w:rsidR="00151FD4" w:rsidRPr="00151FD4" w:rsidRDefault="00151FD4" w:rsidP="00151FD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151FD4">
        <w:rPr>
          <w:rFonts w:ascii="Segoe UI" w:hAnsi="Segoe UI" w:cs="Segoe UI"/>
          <w:color w:val="0F1115"/>
        </w:rPr>
        <w:t>Table 4. Entropy Results for Sustainability–Circularity Risk Factors</w:t>
      </w:r>
    </w:p>
    <w:p w:rsidR="004E7E0F" w:rsidRPr="00733BEB" w:rsidRDefault="004E7E0F" w:rsidP="004E7E0F">
      <w:pPr>
        <w:jc w:val="center"/>
        <w:rPr>
          <w:rFonts w:ascii="Times New Roman" w:hAnsi="Times New Roman" w:cs="Times New Roman"/>
          <w:sz w:val="24"/>
          <w:szCs w:val="24"/>
        </w:rPr>
      </w:pPr>
      <w:r w:rsidRPr="00733BEB">
        <w:rPr>
          <w:rFonts w:ascii="Times New Roman" w:hAnsi="Times New Roman" w:cs="Times New Roman"/>
          <w:sz w:val="24"/>
          <w:szCs w:val="24"/>
        </w:rPr>
        <w:t>Table 4. Entropy Results for Sustainability–Circularity Risk Factors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3150"/>
        <w:gridCol w:w="1350"/>
        <w:gridCol w:w="1980"/>
        <w:gridCol w:w="1425"/>
        <w:gridCol w:w="730"/>
      </w:tblGrid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75E4E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75E4E">
              <w:rPr>
                <w:rFonts w:ascii="Times New Roman" w:hAnsi="Times New Roman" w:cs="Times New Roman"/>
                <w:b/>
              </w:rPr>
              <w:t>Risk Factor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75E4E">
              <w:rPr>
                <w:rFonts w:ascii="Times New Roman" w:hAnsi="Times New Roman" w:cs="Times New Roman"/>
                <w:b/>
              </w:rPr>
              <w:t>Entropy (eⱼ)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75E4E">
              <w:rPr>
                <w:rFonts w:ascii="Times New Roman" w:hAnsi="Times New Roman" w:cs="Times New Roman"/>
                <w:b/>
              </w:rPr>
              <w:t>Diversification (dⱼ)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75E4E">
              <w:rPr>
                <w:rFonts w:ascii="Times New Roman" w:hAnsi="Times New Roman" w:cs="Times New Roman"/>
                <w:b/>
              </w:rPr>
              <w:t>Weight (wⱼ)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75E4E">
              <w:rPr>
                <w:rFonts w:ascii="Times New Roman" w:hAnsi="Times New Roman" w:cs="Times New Roman"/>
                <w:b/>
              </w:rPr>
              <w:t>Rank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TR4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Limited diagnostic infrastructure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0.976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0.024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0.106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1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EC3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Limited financial incentives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0.978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0.022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0.102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2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CP3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Lack of technical standards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0.980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0.020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0.094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3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GR3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Weak enforcement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0.981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0.019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0.087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4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EC2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High repurposing cost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0.983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0.017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0.082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5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TR3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Thermal hazards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0.984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0.016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0.077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6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CP2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Quality control limitations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0.985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0.015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0.073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7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GR1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Fragmented governance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0.986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0.014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0.068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8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CP1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Reverse logistics inefficiency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0.987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0.013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0.063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9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GR2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Regulatory ambiguity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0.988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0.012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0.058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10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TR2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Degradation heterogeneity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0.989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0.011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0.055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11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lastRenderedPageBreak/>
              <w:t>EC1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Market demand uncertainty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0.990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0.010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0.050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12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TR1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 xml:space="preserve">Inaccurate </w:t>
            </w:r>
            <w:proofErr w:type="spellStart"/>
            <w:r w:rsidRPr="00275E4E">
              <w:rPr>
                <w:rFonts w:ascii="Times New Roman" w:hAnsi="Times New Roman" w:cs="Times New Roman"/>
              </w:rPr>
              <w:t>SoH</w:t>
            </w:r>
            <w:proofErr w:type="spellEnd"/>
            <w:r w:rsidRPr="00275E4E">
              <w:rPr>
                <w:rFonts w:ascii="Times New Roman" w:hAnsi="Times New Roman" w:cs="Times New Roman"/>
              </w:rPr>
              <w:t xml:space="preserve"> estimation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0.992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0.008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0.035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13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EN1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Carbon rebound effect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0.995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0.005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0.024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14</w:t>
            </w:r>
          </w:p>
        </w:tc>
      </w:tr>
      <w:tr w:rsidR="004E7E0F" w:rsidRPr="00275E4E" w:rsidTr="00D60EF0">
        <w:trPr>
          <w:cantSplit/>
        </w:trPr>
        <w:tc>
          <w:tcPr>
            <w:tcW w:w="71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EN2</w:t>
            </w:r>
          </w:p>
        </w:tc>
        <w:tc>
          <w:tcPr>
            <w:tcW w:w="31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Delayed recycling emissions</w:t>
            </w:r>
          </w:p>
        </w:tc>
        <w:tc>
          <w:tcPr>
            <w:tcW w:w="135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0.996</w:t>
            </w:r>
          </w:p>
        </w:tc>
        <w:tc>
          <w:tcPr>
            <w:tcW w:w="198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1425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0.018</w:t>
            </w:r>
          </w:p>
        </w:tc>
        <w:tc>
          <w:tcPr>
            <w:tcW w:w="730" w:type="dxa"/>
          </w:tcPr>
          <w:p w:rsidR="004E7E0F" w:rsidRPr="00275E4E" w:rsidRDefault="004E7E0F" w:rsidP="00D60EF0">
            <w:pPr>
              <w:jc w:val="both"/>
              <w:rPr>
                <w:rFonts w:ascii="Times New Roman" w:hAnsi="Times New Roman" w:cs="Times New Roman"/>
              </w:rPr>
            </w:pPr>
            <w:r w:rsidRPr="00275E4E">
              <w:rPr>
                <w:rFonts w:ascii="Times New Roman" w:hAnsi="Times New Roman" w:cs="Times New Roman"/>
              </w:rPr>
              <w:t>15</w:t>
            </w:r>
          </w:p>
        </w:tc>
      </w:tr>
    </w:tbl>
    <w:p w:rsidR="00554AA2" w:rsidRDefault="00554AA2"/>
    <w:p w:rsidR="004E7E0F" w:rsidRDefault="004E7E0F">
      <w:bookmarkStart w:id="0" w:name="_GoBack"/>
      <w:bookmarkEnd w:id="0"/>
    </w:p>
    <w:sectPr w:rsidR="004E7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Size1">
    <w:altName w:val="Times New Roman"/>
    <w:panose1 w:val="00000000000000000000"/>
    <w:charset w:val="00"/>
    <w:family w:val="roman"/>
    <w:notTrueType/>
    <w:pitch w:val="default"/>
  </w:font>
  <w:font w:name="KaTeX_Mai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FD4"/>
    <w:rsid w:val="00151FD4"/>
    <w:rsid w:val="004E7E0F"/>
    <w:rsid w:val="00554AA2"/>
    <w:rsid w:val="00D2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30AEF1-9081-47C2-B96C-906BFE96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151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1FD4"/>
    <w:rPr>
      <w:b/>
      <w:bCs/>
    </w:rPr>
  </w:style>
  <w:style w:type="character" w:customStyle="1" w:styleId="katex-mathml">
    <w:name w:val="katex-mathml"/>
    <w:basedOn w:val="DefaultParagraphFont"/>
    <w:rsid w:val="00151FD4"/>
  </w:style>
  <w:style w:type="character" w:customStyle="1" w:styleId="mord">
    <w:name w:val="mord"/>
    <w:basedOn w:val="DefaultParagraphFont"/>
    <w:rsid w:val="00151FD4"/>
  </w:style>
  <w:style w:type="character" w:customStyle="1" w:styleId="vlist-s">
    <w:name w:val="vlist-s"/>
    <w:basedOn w:val="DefaultParagraphFont"/>
    <w:rsid w:val="00151FD4"/>
  </w:style>
  <w:style w:type="character" w:customStyle="1" w:styleId="mrel">
    <w:name w:val="mrel"/>
    <w:basedOn w:val="DefaultParagraphFont"/>
    <w:rsid w:val="00151FD4"/>
  </w:style>
  <w:style w:type="character" w:customStyle="1" w:styleId="mopen">
    <w:name w:val="mopen"/>
    <w:basedOn w:val="DefaultParagraphFont"/>
    <w:rsid w:val="00151FD4"/>
  </w:style>
  <w:style w:type="character" w:customStyle="1" w:styleId="mop">
    <w:name w:val="mop"/>
    <w:basedOn w:val="DefaultParagraphFont"/>
    <w:rsid w:val="00151FD4"/>
  </w:style>
  <w:style w:type="character" w:customStyle="1" w:styleId="mclose">
    <w:name w:val="mclose"/>
    <w:basedOn w:val="DefaultParagraphFont"/>
    <w:rsid w:val="00151FD4"/>
  </w:style>
  <w:style w:type="character" w:customStyle="1" w:styleId="mtight">
    <w:name w:val="mtight"/>
    <w:basedOn w:val="DefaultParagraphFont"/>
    <w:rsid w:val="00151FD4"/>
  </w:style>
  <w:style w:type="character" w:customStyle="1" w:styleId="mbin">
    <w:name w:val="mbin"/>
    <w:basedOn w:val="DefaultParagraphFont"/>
    <w:rsid w:val="00151FD4"/>
  </w:style>
  <w:style w:type="table" w:styleId="TableGrid">
    <w:name w:val="Table Grid"/>
    <w:basedOn w:val="TableNormal"/>
    <w:uiPriority w:val="39"/>
    <w:rsid w:val="00151F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57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2026-05-02T06:02:00Z</dcterms:created>
  <dcterms:modified xsi:type="dcterms:W3CDTF">2026-05-02T06:55:00Z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ba0b951d-3019-451c-9d7e-8b06612ff75e</vt:lpwstr>
  </property>
</Properties>
</file>