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f3956dagxkhf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Evaluation OCR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 Asli: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Slide One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Esco Ductless Fume Hoods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KEY FEATURES: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“GREEN” solution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Safe Carbon Filtration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Low installation and maintenance cost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Ergonomic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ISOCIDE™ antimicrobial powder coating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Slide 2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OVERVIEW OF MODELS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Ascent™ Max Series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Standard model Model: ADC-B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Main Filter: Carbon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Has an option for motorized sash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Available sizes: 2, 3, 4, 5, 6 ft. With Secondary Carbon Filter Model: ADC-C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Main Filter : Carbon Secondary Filter: Carbon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Available sizes: 3, 4, 5, 6 ft. With Secondary HEPA Filter Model: ADC-E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Main Filter : Carbon Secondary Filter: HEPA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Available sizes: 3, 4, 5, 6 ft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ADC’s worktop may be upgraded to: - Epoxy - Phenolic Resi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OPTIONS AND ACCESSORIES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Carbon Filter (Type A-Type H) Electrical Outlet VOC Sensor American Style Service Fixture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Swan-neck faucet and PP Drip Cup European Style Service Fixture Base Cabinet Support Stand with Leveling Feet Support Stand with Caster Wheels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Slide 3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Ascent™ Opti Series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Model: SPD-A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Main Filter: Carbon Filter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Double hinged sash mechanism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Includes a mobile cart, no sink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Available sizes: 3 and 4 ft. Model: SPD-B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Main Filter: Carbon Filter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Double hinged sash mechanism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Transparent back wall made of acrylic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Includes a mobile cart, no sink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Available sizes: 3 and 4 ft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Ascent™ Opti Formax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Model: SPF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Double hinged sash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Formalin-dispensing Fumehood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Removes formalin fumes through carbon filtration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Available sizes: 3 and 4 ft.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Ascent™ Opti Titramax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Model: SPT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Horizontal sliding sash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Phenolic resin worktop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Main filter: Carbon filter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Available Sizes: 3 and 4 ft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Ascent™ Filtered Storage Cabinet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Model: ASC-_ Fumes from chemical containers often result to the storage cabinet’s corrosion and contaminated air in the laboratory. Ascent™ storage cabinet is ideal in providing a safe and convenient storage solution. This cabinet is equipped with Nanocarb™ filters that effectively adsorb chemical fumes to provide operator and environment protection.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Has Polypropylene trays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Sentinel™ microprocessor controller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Door safety lock restricts access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Multiple filter configurations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Available sizes: 2, 4, 6 ft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