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C5187A">
      <w:pPr>
        <w:spacing w:after="80"/>
        <w:jc w:val="center"/>
      </w:pPr>
      <w:r>
        <w:rPr>
          <w:b/>
          <w:bCs/>
        </w:rPr>
        <w:t>MEMO ANALISIS PRAKTIKUM 04</w:t>
      </w:r>
    </w:p>
    <w:p w14:paraId="4848F7C1">
      <w:pPr>
        <w:spacing w:after="360"/>
        <w:jc w:val="center"/>
      </w:pPr>
      <w:r>
        <w:rPr>
          <w:b/>
          <w:bCs/>
        </w:rPr>
        <w:t>KECERDASAN BISNIS – POWER BI</w:t>
      </w:r>
    </w:p>
    <w:p w14:paraId="325595A2">
      <w:pPr>
        <w:spacing w:after="40"/>
        <w:jc w:val="both"/>
        <w:rPr>
          <w:rFonts w:hint="default"/>
          <w:lang w:val="id-ID"/>
        </w:rPr>
      </w:pPr>
      <w:r>
        <w:t xml:space="preserve">Nama: </w:t>
      </w:r>
      <w:r>
        <w:rPr>
          <w:rFonts w:hint="default"/>
          <w:lang w:val="id-ID"/>
        </w:rPr>
        <w:t>Alfin Ardiansyah</w:t>
      </w:r>
    </w:p>
    <w:p w14:paraId="667194DB">
      <w:pPr>
        <w:spacing w:after="240"/>
        <w:jc w:val="both"/>
        <w:rPr>
          <w:rFonts w:hint="default"/>
          <w:lang w:val="id-ID"/>
        </w:rPr>
      </w:pPr>
      <w:r>
        <w:t>NIM: 29240</w:t>
      </w:r>
      <w:r>
        <w:rPr>
          <w:rFonts w:hint="default"/>
          <w:lang w:val="id-ID"/>
        </w:rPr>
        <w:t>15</w:t>
      </w:r>
      <w:bookmarkStart w:id="0" w:name="_GoBack"/>
      <w:bookmarkEnd w:id="0"/>
    </w:p>
    <w:p w14:paraId="59211A46">
      <w:pPr>
        <w:keepNext/>
        <w:spacing w:before="280" w:after="160"/>
      </w:pPr>
      <w:r>
        <w:rPr>
          <w:b/>
          <w:bCs/>
        </w:rPr>
        <w:t>1. DIAGRAM ORDER-TO-CASH</w:t>
      </w:r>
    </w:p>
    <w:p w14:paraId="65F9D854">
      <w:pPr>
        <w:spacing w:before="120" w:after="200"/>
        <w:jc w:val="center"/>
      </w:pPr>
      <w:r>
        <w:drawing>
          <wp:inline distT="0" distB="0" distL="0" distR="0">
            <wp:extent cx="5334000" cy="2066925"/>
            <wp:effectExtent l="0" t="0" r="0" b="0"/>
            <wp:docPr id="1" name="i-000.png" descr="i-000.png" title="i-0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000.png" descr="i-000.png" title="i-000.png"/>
                    <pic:cNvPicPr>
                      <a:picLocks noChangeAspect="1" noChangeArrowheads="1"/>
                    </pic:cNvPicPr>
                  </pic:nvPicPr>
                  <pic:blipFill>
                    <a:blip r:embed="rId4"/>
                    <a:srcRect/>
                    <a:stretch>
                      <a:fillRect/>
                    </a:stretch>
                  </pic:blipFill>
                  <pic:spPr>
                    <a:xfrm>
                      <a:off x="0" y="0"/>
                      <a:ext cx="5334000" cy="2066925"/>
                    </a:xfrm>
                    <a:prstGeom prst="rect">
                      <a:avLst/>
                    </a:prstGeom>
                  </pic:spPr>
                </pic:pic>
              </a:graphicData>
            </a:graphic>
          </wp:inline>
        </w:drawing>
      </w:r>
    </w:p>
    <w:p w14:paraId="3CECF3BF">
      <w:pPr>
        <w:spacing w:after="160" w:line="360" w:lineRule="auto"/>
        <w:jc w:val="both"/>
      </w:pPr>
      <w:r>
        <w:t>Diagram Order-to-Cash di atas memperlihatkan perjalanan nilai di SumbarMart 360, dari saat pelanggan memilih produk sampai transaksi tuntas atau berlanjut ke proses retur/keluhan. Alur ini dibagi menjadi lima tahap. Tahap (1) Pilih Produk: pelanggan menetapkan Product_ID, Quantity, dan Unit_Price, yang dapat dipengaruhi oleh Campaign. Tahap (2) Transaksi: sistem mencatat Transaction_ID, Transaction_Date, Branch_ID, Customer_ID, dan Channel. Tahap (3) Pembayaran: Payment_Method direkam sebagai atribut transaksi, bukan sebagai dimensi cabang. Tahap (4) Pemenuhan (Fulfillment): diukur dengan Avg_Fulfillment_Hours pada grain bulanan-cabang. Tahap (5) Retur/Keluhan: dicatat melalui Return_Flag pada level transaksi dan Complaint_Count pada level bulanan-cabang. Karena Fact_Sales berada pada level transaksi sedangkan Fact_Operations pada level bulanan-cabang, perbedaan grain ini perlu diperhatikan agar KPI tidak menggelembung ketika kedua tabel digabungkan.</w:t>
      </w:r>
    </w:p>
    <w:p w14:paraId="38645A2A">
      <w:pPr>
        <w:rPr>
          <w:b/>
          <w:bCs/>
        </w:rPr>
      </w:pPr>
      <w:r>
        <w:rPr>
          <w:b/>
          <w:bCs/>
        </w:rPr>
        <w:br w:type="page"/>
      </w:r>
    </w:p>
    <w:p w14:paraId="694FA912">
      <w:pPr>
        <w:keepNext/>
        <w:spacing w:before="280" w:after="160"/>
      </w:pPr>
      <w:r>
        <w:rPr>
          <w:b/>
          <w:bCs/>
        </w:rPr>
        <w:t>2. DEFINISI GRAIN</w:t>
      </w:r>
    </w:p>
    <w:p w14:paraId="30160AB5">
      <w:pPr>
        <w:keepNext/>
        <w:spacing w:before="280" w:after="160"/>
      </w:pPr>
      <w:r>
        <w:rPr>
          <w:b/>
          <w:bCs/>
        </w:rPr>
        <w:t>2.1 Grain Fact_Sales</w:t>
      </w:r>
    </w:p>
    <w:p w14:paraId="211F0DD4">
      <w:pPr>
        <w:spacing w:before="120" w:after="200"/>
        <w:jc w:val="center"/>
      </w:pPr>
    </w:p>
    <w:p w14:paraId="58A57C32">
      <w:pPr>
        <w:spacing w:before="120" w:after="200"/>
        <w:jc w:val="center"/>
      </w:pPr>
      <w:r>
        <w:drawing>
          <wp:inline distT="0" distB="0" distL="0" distR="0">
            <wp:extent cx="5334000" cy="2905125"/>
            <wp:effectExtent l="0" t="0" r="0" b="9525"/>
            <wp:docPr id="2" name="i-001.png" descr="i-001.png" title="i-0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001.png" descr="i-001.png" title="i-001.png"/>
                    <pic:cNvPicPr>
                      <a:picLocks noChangeAspect="1" noChangeArrowheads="1"/>
                    </pic:cNvPicPr>
                  </pic:nvPicPr>
                  <pic:blipFill>
                    <a:blip r:embed="rId5"/>
                    <a:srcRect t="3166"/>
                    <a:stretch>
                      <a:fillRect/>
                    </a:stretch>
                  </pic:blipFill>
                  <pic:spPr>
                    <a:xfrm>
                      <a:off x="0" y="0"/>
                      <a:ext cx="5334000" cy="2905372"/>
                    </a:xfrm>
                    <a:prstGeom prst="rect">
                      <a:avLst/>
                    </a:prstGeom>
                    <a:ln>
                      <a:noFill/>
                    </a:ln>
                  </pic:spPr>
                </pic:pic>
              </a:graphicData>
            </a:graphic>
          </wp:inline>
        </w:drawing>
      </w:r>
    </w:p>
    <w:p w14:paraId="5F9A7E14">
      <w:pPr>
        <w:spacing w:after="160" w:line="360" w:lineRule="auto"/>
        <w:jc w:val="both"/>
      </w:pPr>
      <w:r>
        <w:t>Pada dataset praktikum ini, setiap baris Fact_Sales yang sudah dibersihkan merepresentasikan satu catatan transaksi untuk satu Product_ID pada satu tanggal di satu Branch_ID. Setelah duplikasi yang disengaja dihapus, Transaction_ID bernilai unik di seluruh dataset.</w:t>
      </w:r>
    </w:p>
    <w:p w14:paraId="44E39F08">
      <w:pPr>
        <w:spacing w:after="160" w:line="360" w:lineRule="auto"/>
        <w:jc w:val="both"/>
      </w:pPr>
      <w:r>
        <w:t>Pernyataan tersebut hanya berlaku untuk dataset latihan dan bukan aturan umum sistem POS. Pada sistem kasir sesungguhnya, satu struk kerap berisi beberapa baris produk. Dalam kondisi itu diperlukan Line_ID atau kunci gabungan yang sesuai.</w:t>
      </w:r>
    </w:p>
    <w:p w14:paraId="6B58C09C">
      <w:pPr>
        <w:keepNext/>
        <w:spacing w:before="280" w:after="160"/>
      </w:pPr>
      <w:r>
        <w:rPr>
          <w:b/>
          <w:bCs/>
        </w:rPr>
        <w:t>2.2 Grain Fact_Operations</w:t>
      </w:r>
    </w:p>
    <w:p w14:paraId="46E1FE2F">
      <w:pPr>
        <w:spacing w:before="120" w:after="200"/>
        <w:jc w:val="center"/>
      </w:pPr>
      <w:r>
        <w:drawing>
          <wp:inline distT="0" distB="0" distL="0" distR="0">
            <wp:extent cx="5334000" cy="2371725"/>
            <wp:effectExtent l="0" t="0" r="0" b="0"/>
            <wp:docPr id="3" name="i-002.png" descr="i-002.png" title="i-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002.png" descr="i-002.png" title="i-002.png"/>
                    <pic:cNvPicPr>
                      <a:picLocks noChangeAspect="1" noChangeArrowheads="1"/>
                    </pic:cNvPicPr>
                  </pic:nvPicPr>
                  <pic:blipFill>
                    <a:blip r:embed="rId6"/>
                    <a:srcRect/>
                    <a:stretch>
                      <a:fillRect/>
                    </a:stretch>
                  </pic:blipFill>
                  <pic:spPr>
                    <a:xfrm>
                      <a:off x="0" y="0"/>
                      <a:ext cx="5334000" cy="2371725"/>
                    </a:xfrm>
                    <a:prstGeom prst="rect">
                      <a:avLst/>
                    </a:prstGeom>
                  </pic:spPr>
                </pic:pic>
              </a:graphicData>
            </a:graphic>
          </wp:inline>
        </w:drawing>
      </w:r>
    </w:p>
    <w:p w14:paraId="66E11EEC">
      <w:pPr>
        <w:spacing w:after="160" w:line="360" w:lineRule="auto"/>
        <w:jc w:val="both"/>
      </w:pPr>
      <w:r>
        <w:t>Pada dataset ini, setiap baris Fact_Operations merupakan agregat operasional satu cabang dalam satu bulan tertentu. Kombinasi Month_Start dan Branch_ID bernilai unik di tabel ini.</w:t>
      </w:r>
    </w:p>
    <w:p w14:paraId="656C395F">
      <w:pPr>
        <w:spacing w:after="160" w:line="360" w:lineRule="auto"/>
        <w:jc w:val="both"/>
      </w:pPr>
      <w:r>
        <w:t>Grain bulanan-cabang berarti fluktuasi operasional harian tidak dapat diamati. Apabila analisis memerlukan rincian harian, dibutuhkan tabel operasional bergrain harian. Selain itu, angka seperti Avg_Fulfillment_Hours tidak boleh ditafsirkan sebagai atribut satu transaksi tertentu.</w:t>
      </w:r>
    </w:p>
    <w:p w14:paraId="03E1D219">
      <w:pPr>
        <w:keepNext/>
        <w:spacing w:before="280" w:after="160"/>
      </w:pPr>
      <w:r>
        <w:rPr>
          <w:b/>
          <w:bCs/>
        </w:rPr>
        <w:t>3. MATRIKS KEBUTUHAN KEPUTUSAN</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89"/>
        <w:gridCol w:w="1207"/>
        <w:gridCol w:w="931"/>
        <w:gridCol w:w="1012"/>
        <w:gridCol w:w="1876"/>
        <w:gridCol w:w="1311"/>
        <w:gridCol w:w="913"/>
        <w:gridCol w:w="1567"/>
      </w:tblGrid>
      <w:tr w14:paraId="71D53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00" w:type="dxa"/>
            <w:tcBorders>
              <w:top w:val="single" w:color="8FA3B8" w:sz="4" w:space="0"/>
              <w:left w:val="single" w:color="8FA3B8" w:sz="4" w:space="0"/>
              <w:bottom w:val="single" w:color="8FA3B8" w:sz="4" w:space="0"/>
              <w:right w:val="single" w:color="8FA3B8" w:sz="4" w:space="0"/>
            </w:tcBorders>
            <w:shd w:val="clear" w:color="auto" w:fill="1F3A5F"/>
            <w:tcMar>
              <w:top w:w="70" w:type="dxa"/>
              <w:left w:w="90" w:type="dxa"/>
              <w:bottom w:w="70" w:type="dxa"/>
              <w:right w:w="90" w:type="dxa"/>
            </w:tcMar>
            <w:vAlign w:val="center"/>
          </w:tcPr>
          <w:p w14:paraId="0945C1BB">
            <w:pPr>
              <w:jc w:val="center"/>
            </w:pPr>
            <w:r>
              <w:rPr>
                <w:b/>
                <w:bCs/>
                <w:color w:val="FFFFFF"/>
                <w:sz w:val="18"/>
                <w:szCs w:val="18"/>
              </w:rPr>
              <w:t>No</w:t>
            </w:r>
          </w:p>
        </w:tc>
        <w:tc>
          <w:tcPr>
            <w:tcW w:w="1400" w:type="dxa"/>
            <w:tcBorders>
              <w:top w:val="single" w:color="8FA3B8" w:sz="4" w:space="0"/>
              <w:left w:val="single" w:color="8FA3B8" w:sz="4" w:space="0"/>
              <w:bottom w:val="single" w:color="8FA3B8" w:sz="4" w:space="0"/>
              <w:right w:val="single" w:color="8FA3B8" w:sz="4" w:space="0"/>
            </w:tcBorders>
            <w:shd w:val="clear" w:color="auto" w:fill="1F3A5F"/>
            <w:tcMar>
              <w:top w:w="70" w:type="dxa"/>
              <w:left w:w="90" w:type="dxa"/>
              <w:bottom w:w="70" w:type="dxa"/>
              <w:right w:w="90" w:type="dxa"/>
            </w:tcMar>
            <w:vAlign w:val="center"/>
          </w:tcPr>
          <w:p w14:paraId="5425E2B2">
            <w:pPr>
              <w:jc w:val="center"/>
            </w:pPr>
            <w:r>
              <w:rPr>
                <w:b/>
                <w:bCs/>
                <w:color w:val="FFFFFF"/>
                <w:sz w:val="18"/>
                <w:szCs w:val="18"/>
              </w:rPr>
              <w:t>Keputusan Bisnis</w:t>
            </w:r>
          </w:p>
        </w:tc>
        <w:tc>
          <w:tcPr>
            <w:tcW w:w="1050" w:type="dxa"/>
            <w:tcBorders>
              <w:top w:val="single" w:color="8FA3B8" w:sz="4" w:space="0"/>
              <w:left w:val="single" w:color="8FA3B8" w:sz="4" w:space="0"/>
              <w:bottom w:val="single" w:color="8FA3B8" w:sz="4" w:space="0"/>
              <w:right w:val="single" w:color="8FA3B8" w:sz="4" w:space="0"/>
            </w:tcBorders>
            <w:shd w:val="clear" w:color="auto" w:fill="1F3A5F"/>
            <w:tcMar>
              <w:top w:w="70" w:type="dxa"/>
              <w:left w:w="90" w:type="dxa"/>
              <w:bottom w:w="70" w:type="dxa"/>
              <w:right w:w="90" w:type="dxa"/>
            </w:tcMar>
            <w:vAlign w:val="center"/>
          </w:tcPr>
          <w:p w14:paraId="4C76B69B">
            <w:pPr>
              <w:jc w:val="center"/>
            </w:pPr>
            <w:r>
              <w:rPr>
                <w:b/>
                <w:bCs/>
                <w:color w:val="FFFFFF"/>
                <w:sz w:val="18"/>
                <w:szCs w:val="18"/>
              </w:rPr>
              <w:t>Pengguna</w:t>
            </w:r>
          </w:p>
        </w:tc>
        <w:tc>
          <w:tcPr>
            <w:tcW w:w="1150" w:type="dxa"/>
            <w:tcBorders>
              <w:top w:val="single" w:color="8FA3B8" w:sz="4" w:space="0"/>
              <w:left w:val="single" w:color="8FA3B8" w:sz="4" w:space="0"/>
              <w:bottom w:val="single" w:color="8FA3B8" w:sz="4" w:space="0"/>
              <w:right w:val="single" w:color="8FA3B8" w:sz="4" w:space="0"/>
            </w:tcBorders>
            <w:shd w:val="clear" w:color="auto" w:fill="1F3A5F"/>
            <w:tcMar>
              <w:top w:w="70" w:type="dxa"/>
              <w:left w:w="90" w:type="dxa"/>
              <w:bottom w:w="70" w:type="dxa"/>
              <w:right w:w="90" w:type="dxa"/>
            </w:tcMar>
            <w:vAlign w:val="center"/>
          </w:tcPr>
          <w:p w14:paraId="01484063">
            <w:pPr>
              <w:jc w:val="center"/>
            </w:pPr>
            <w:r>
              <w:rPr>
                <w:b/>
                <w:bCs/>
                <w:color w:val="FFFFFF"/>
                <w:sz w:val="18"/>
                <w:szCs w:val="18"/>
              </w:rPr>
              <w:t>KPI</w:t>
            </w:r>
          </w:p>
        </w:tc>
        <w:tc>
          <w:tcPr>
            <w:tcW w:w="1500" w:type="dxa"/>
            <w:tcBorders>
              <w:top w:val="single" w:color="8FA3B8" w:sz="4" w:space="0"/>
              <w:left w:val="single" w:color="8FA3B8" w:sz="4" w:space="0"/>
              <w:bottom w:val="single" w:color="8FA3B8" w:sz="4" w:space="0"/>
              <w:right w:val="single" w:color="8FA3B8" w:sz="4" w:space="0"/>
            </w:tcBorders>
            <w:shd w:val="clear" w:color="auto" w:fill="1F3A5F"/>
            <w:tcMar>
              <w:top w:w="70" w:type="dxa"/>
              <w:left w:w="90" w:type="dxa"/>
              <w:bottom w:w="70" w:type="dxa"/>
              <w:right w:w="90" w:type="dxa"/>
            </w:tcMar>
            <w:vAlign w:val="center"/>
          </w:tcPr>
          <w:p w14:paraId="4BDAD4E7">
            <w:pPr>
              <w:jc w:val="center"/>
            </w:pPr>
            <w:r>
              <w:rPr>
                <w:b/>
                <w:bCs/>
                <w:color w:val="FFFFFF"/>
                <w:sz w:val="18"/>
                <w:szCs w:val="18"/>
              </w:rPr>
              <w:t>Field</w:t>
            </w:r>
          </w:p>
        </w:tc>
        <w:tc>
          <w:tcPr>
            <w:tcW w:w="1150" w:type="dxa"/>
            <w:tcBorders>
              <w:top w:val="single" w:color="8FA3B8" w:sz="4" w:space="0"/>
              <w:left w:val="single" w:color="8FA3B8" w:sz="4" w:space="0"/>
              <w:bottom w:val="single" w:color="8FA3B8" w:sz="4" w:space="0"/>
              <w:right w:val="single" w:color="8FA3B8" w:sz="4" w:space="0"/>
            </w:tcBorders>
            <w:shd w:val="clear" w:color="auto" w:fill="1F3A5F"/>
            <w:tcMar>
              <w:top w:w="70" w:type="dxa"/>
              <w:left w:w="90" w:type="dxa"/>
              <w:bottom w:w="70" w:type="dxa"/>
              <w:right w:w="90" w:type="dxa"/>
            </w:tcMar>
            <w:vAlign w:val="center"/>
          </w:tcPr>
          <w:p w14:paraId="252691F0">
            <w:pPr>
              <w:jc w:val="center"/>
            </w:pPr>
            <w:r>
              <w:rPr>
                <w:b/>
                <w:bCs/>
                <w:color w:val="FFFFFF"/>
                <w:sz w:val="18"/>
                <w:szCs w:val="18"/>
              </w:rPr>
              <w:t>Sumber</w:t>
            </w:r>
          </w:p>
        </w:tc>
        <w:tc>
          <w:tcPr>
            <w:tcW w:w="950" w:type="dxa"/>
            <w:tcBorders>
              <w:top w:val="single" w:color="8FA3B8" w:sz="4" w:space="0"/>
              <w:left w:val="single" w:color="8FA3B8" w:sz="4" w:space="0"/>
              <w:bottom w:val="single" w:color="8FA3B8" w:sz="4" w:space="0"/>
              <w:right w:val="single" w:color="8FA3B8" w:sz="4" w:space="0"/>
            </w:tcBorders>
            <w:shd w:val="clear" w:color="auto" w:fill="1F3A5F"/>
            <w:tcMar>
              <w:top w:w="70" w:type="dxa"/>
              <w:left w:w="90" w:type="dxa"/>
              <w:bottom w:w="70" w:type="dxa"/>
              <w:right w:w="90" w:type="dxa"/>
            </w:tcMar>
            <w:vAlign w:val="center"/>
          </w:tcPr>
          <w:p w14:paraId="53B97855">
            <w:pPr>
              <w:jc w:val="center"/>
            </w:pPr>
            <w:r>
              <w:rPr>
                <w:b/>
                <w:bCs/>
                <w:color w:val="FFFFFF"/>
                <w:sz w:val="18"/>
                <w:szCs w:val="18"/>
              </w:rPr>
              <w:t>Frekuensi</w:t>
            </w:r>
          </w:p>
        </w:tc>
        <w:tc>
          <w:tcPr>
            <w:tcW w:w="1426" w:type="dxa"/>
            <w:tcBorders>
              <w:top w:val="single" w:color="8FA3B8" w:sz="4" w:space="0"/>
              <w:left w:val="single" w:color="8FA3B8" w:sz="4" w:space="0"/>
              <w:bottom w:val="single" w:color="8FA3B8" w:sz="4" w:space="0"/>
              <w:right w:val="single" w:color="8FA3B8" w:sz="4" w:space="0"/>
            </w:tcBorders>
            <w:shd w:val="clear" w:color="auto" w:fill="1F3A5F"/>
            <w:tcMar>
              <w:top w:w="70" w:type="dxa"/>
              <w:left w:w="90" w:type="dxa"/>
              <w:bottom w:w="70" w:type="dxa"/>
              <w:right w:w="90" w:type="dxa"/>
            </w:tcMar>
            <w:vAlign w:val="center"/>
          </w:tcPr>
          <w:p w14:paraId="0D4A2E0C">
            <w:pPr>
              <w:jc w:val="center"/>
            </w:pPr>
            <w:r>
              <w:rPr>
                <w:b/>
                <w:bCs/>
                <w:color w:val="FFFFFF"/>
                <w:sz w:val="18"/>
                <w:szCs w:val="18"/>
              </w:rPr>
              <w:t>Risiko Kualitas</w:t>
            </w:r>
          </w:p>
        </w:tc>
      </w:tr>
      <w:tr w14:paraId="0E793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00" w:type="dxa"/>
            <w:tcBorders>
              <w:top w:val="single" w:color="8FA3B8" w:sz="4" w:space="0"/>
              <w:left w:val="single" w:color="8FA3B8" w:sz="4" w:space="0"/>
              <w:bottom w:val="single" w:color="8FA3B8" w:sz="4" w:space="0"/>
              <w:right w:val="single" w:color="8FA3B8" w:sz="4" w:space="0"/>
            </w:tcBorders>
            <w:tcMar>
              <w:top w:w="70" w:type="dxa"/>
              <w:left w:w="90" w:type="dxa"/>
              <w:bottom w:w="70" w:type="dxa"/>
              <w:right w:w="90" w:type="dxa"/>
            </w:tcMar>
            <w:vAlign w:val="center"/>
          </w:tcPr>
          <w:p w14:paraId="1C5F5A54">
            <w:pPr>
              <w:jc w:val="center"/>
            </w:pPr>
            <w:r>
              <w:rPr>
                <w:sz w:val="18"/>
                <w:szCs w:val="18"/>
              </w:rPr>
              <w:t>1</w:t>
            </w:r>
          </w:p>
        </w:tc>
        <w:tc>
          <w:tcPr>
            <w:tcW w:w="1400" w:type="dxa"/>
            <w:tcBorders>
              <w:top w:val="single" w:color="8FA3B8" w:sz="4" w:space="0"/>
              <w:left w:val="single" w:color="8FA3B8" w:sz="4" w:space="0"/>
              <w:bottom w:val="single" w:color="8FA3B8" w:sz="4" w:space="0"/>
              <w:right w:val="single" w:color="8FA3B8" w:sz="4" w:space="0"/>
            </w:tcBorders>
            <w:tcMar>
              <w:top w:w="70" w:type="dxa"/>
              <w:left w:w="90" w:type="dxa"/>
              <w:bottom w:w="70" w:type="dxa"/>
              <w:right w:w="90" w:type="dxa"/>
            </w:tcMar>
            <w:vAlign w:val="center"/>
          </w:tcPr>
          <w:p w14:paraId="1119135F">
            <w:r>
              <w:rPr>
                <w:b/>
                <w:bCs/>
                <w:sz w:val="18"/>
                <w:szCs w:val="18"/>
              </w:rPr>
              <w:t>Menilai kinerja dan menyusun peringkat antarcabang</w:t>
            </w:r>
          </w:p>
        </w:tc>
        <w:tc>
          <w:tcPr>
            <w:tcW w:w="1050" w:type="dxa"/>
            <w:tcBorders>
              <w:top w:val="single" w:color="8FA3B8" w:sz="4" w:space="0"/>
              <w:left w:val="single" w:color="8FA3B8" w:sz="4" w:space="0"/>
              <w:bottom w:val="single" w:color="8FA3B8" w:sz="4" w:space="0"/>
              <w:right w:val="single" w:color="8FA3B8" w:sz="4" w:space="0"/>
            </w:tcBorders>
            <w:tcMar>
              <w:top w:w="70" w:type="dxa"/>
              <w:left w:w="90" w:type="dxa"/>
              <w:bottom w:w="70" w:type="dxa"/>
              <w:right w:w="90" w:type="dxa"/>
            </w:tcMar>
            <w:vAlign w:val="center"/>
          </w:tcPr>
          <w:p w14:paraId="0A08E899">
            <w:pPr>
              <w:jc w:val="center"/>
            </w:pPr>
            <w:r>
              <w:rPr>
                <w:sz w:val="18"/>
                <w:szCs w:val="18"/>
              </w:rPr>
              <w:t>Area Manager</w:t>
            </w:r>
          </w:p>
        </w:tc>
        <w:tc>
          <w:tcPr>
            <w:tcW w:w="1150" w:type="dxa"/>
            <w:tcBorders>
              <w:top w:val="single" w:color="8FA3B8" w:sz="4" w:space="0"/>
              <w:left w:val="single" w:color="8FA3B8" w:sz="4" w:space="0"/>
              <w:bottom w:val="single" w:color="8FA3B8" w:sz="4" w:space="0"/>
              <w:right w:val="single" w:color="8FA3B8" w:sz="4" w:space="0"/>
            </w:tcBorders>
            <w:tcMar>
              <w:top w:w="70" w:type="dxa"/>
              <w:left w:w="90" w:type="dxa"/>
              <w:bottom w:w="70" w:type="dxa"/>
              <w:right w:w="90" w:type="dxa"/>
            </w:tcMar>
            <w:vAlign w:val="center"/>
          </w:tcPr>
          <w:p w14:paraId="12CFFB32">
            <w:r>
              <w:rPr>
                <w:sz w:val="18"/>
                <w:szCs w:val="18"/>
              </w:rPr>
              <w:t>Total Revenue,</w:t>
            </w:r>
          </w:p>
          <w:p w14:paraId="4FE456D3">
            <w:r>
              <w:rPr>
                <w:sz w:val="18"/>
                <w:szCs w:val="18"/>
              </w:rPr>
              <w:t>Total Profit,</w:t>
            </w:r>
          </w:p>
          <w:p w14:paraId="05E3B632">
            <w:r>
              <w:rPr>
                <w:sz w:val="18"/>
                <w:szCs w:val="18"/>
              </w:rPr>
              <w:t>Sales Growth</w:t>
            </w:r>
          </w:p>
        </w:tc>
        <w:tc>
          <w:tcPr>
            <w:tcW w:w="1500" w:type="dxa"/>
            <w:tcBorders>
              <w:top w:val="single" w:color="8FA3B8" w:sz="4" w:space="0"/>
              <w:left w:val="single" w:color="8FA3B8" w:sz="4" w:space="0"/>
              <w:bottom w:val="single" w:color="8FA3B8" w:sz="4" w:space="0"/>
              <w:right w:val="single" w:color="8FA3B8" w:sz="4" w:space="0"/>
            </w:tcBorders>
            <w:tcMar>
              <w:top w:w="70" w:type="dxa"/>
              <w:left w:w="90" w:type="dxa"/>
              <w:bottom w:w="70" w:type="dxa"/>
              <w:right w:w="90" w:type="dxa"/>
            </w:tcMar>
            <w:vAlign w:val="center"/>
          </w:tcPr>
          <w:p w14:paraId="0BD151F7">
            <w:r>
              <w:rPr>
                <w:sz w:val="18"/>
                <w:szCs w:val="18"/>
              </w:rPr>
              <w:t>Branch_ID, Revenue,</w:t>
            </w:r>
          </w:p>
          <w:p w14:paraId="7842343D">
            <w:r>
              <w:rPr>
                <w:sz w:val="18"/>
                <w:szCs w:val="18"/>
              </w:rPr>
              <w:t>Profit, Transaction_Date</w:t>
            </w:r>
          </w:p>
        </w:tc>
        <w:tc>
          <w:tcPr>
            <w:tcW w:w="1150" w:type="dxa"/>
            <w:tcBorders>
              <w:top w:val="single" w:color="8FA3B8" w:sz="4" w:space="0"/>
              <w:left w:val="single" w:color="8FA3B8" w:sz="4" w:space="0"/>
              <w:bottom w:val="single" w:color="8FA3B8" w:sz="4" w:space="0"/>
              <w:right w:val="single" w:color="8FA3B8" w:sz="4" w:space="0"/>
            </w:tcBorders>
            <w:tcMar>
              <w:top w:w="70" w:type="dxa"/>
              <w:left w:w="90" w:type="dxa"/>
              <w:bottom w:w="70" w:type="dxa"/>
              <w:right w:w="90" w:type="dxa"/>
            </w:tcMar>
            <w:vAlign w:val="center"/>
          </w:tcPr>
          <w:p w14:paraId="1EDAFB41">
            <w:pPr>
              <w:jc w:val="center"/>
            </w:pPr>
            <w:r>
              <w:rPr>
                <w:sz w:val="18"/>
                <w:szCs w:val="18"/>
              </w:rPr>
              <w:t>Fact_Sales + Dim_Branch</w:t>
            </w:r>
          </w:p>
        </w:tc>
        <w:tc>
          <w:tcPr>
            <w:tcW w:w="950" w:type="dxa"/>
            <w:tcBorders>
              <w:top w:val="single" w:color="8FA3B8" w:sz="4" w:space="0"/>
              <w:left w:val="single" w:color="8FA3B8" w:sz="4" w:space="0"/>
              <w:bottom w:val="single" w:color="8FA3B8" w:sz="4" w:space="0"/>
              <w:right w:val="single" w:color="8FA3B8" w:sz="4" w:space="0"/>
            </w:tcBorders>
            <w:tcMar>
              <w:top w:w="70" w:type="dxa"/>
              <w:left w:w="90" w:type="dxa"/>
              <w:bottom w:w="70" w:type="dxa"/>
              <w:right w:w="90" w:type="dxa"/>
            </w:tcMar>
            <w:vAlign w:val="center"/>
          </w:tcPr>
          <w:p w14:paraId="51E5A017">
            <w:pPr>
              <w:jc w:val="center"/>
            </w:pPr>
            <w:r>
              <w:rPr>
                <w:sz w:val="18"/>
                <w:szCs w:val="18"/>
              </w:rPr>
              <w:t>Bulanan</w:t>
            </w:r>
          </w:p>
        </w:tc>
        <w:tc>
          <w:tcPr>
            <w:tcW w:w="1426" w:type="dxa"/>
            <w:tcBorders>
              <w:top w:val="single" w:color="8FA3B8" w:sz="4" w:space="0"/>
              <w:left w:val="single" w:color="8FA3B8" w:sz="4" w:space="0"/>
              <w:bottom w:val="single" w:color="8FA3B8" w:sz="4" w:space="0"/>
              <w:right w:val="single" w:color="8FA3B8" w:sz="4" w:space="0"/>
            </w:tcBorders>
            <w:tcMar>
              <w:top w:w="70" w:type="dxa"/>
              <w:left w:w="90" w:type="dxa"/>
              <w:bottom w:w="70" w:type="dxa"/>
              <w:right w:w="90" w:type="dxa"/>
            </w:tcMar>
            <w:vAlign w:val="center"/>
          </w:tcPr>
          <w:p w14:paraId="713B6406">
            <w:r>
              <w:rPr>
                <w:sz w:val="18"/>
                <w:szCs w:val="18"/>
              </w:rPr>
              <w:t>Orphan key (contoh: B099) yang tidak berpasangan dengan Dim_Branch dapat menggelembungkan atau menghilangkan total pendapatan cabang.</w:t>
            </w:r>
          </w:p>
        </w:tc>
      </w:tr>
      <w:tr w14:paraId="4F9EF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00" w:type="dxa"/>
            <w:tcBorders>
              <w:top w:val="single" w:color="8FA3B8" w:sz="4" w:space="0"/>
              <w:left w:val="single" w:color="8FA3B8" w:sz="4" w:space="0"/>
              <w:bottom w:val="single" w:color="8FA3B8" w:sz="4" w:space="0"/>
              <w:right w:val="single" w:color="8FA3B8" w:sz="4" w:space="0"/>
            </w:tcBorders>
            <w:shd w:val="clear" w:color="auto" w:fill="F3F6FA"/>
            <w:tcMar>
              <w:top w:w="70" w:type="dxa"/>
              <w:left w:w="90" w:type="dxa"/>
              <w:bottom w:w="70" w:type="dxa"/>
              <w:right w:w="90" w:type="dxa"/>
            </w:tcMar>
            <w:vAlign w:val="center"/>
          </w:tcPr>
          <w:p w14:paraId="5BB0541F">
            <w:pPr>
              <w:jc w:val="center"/>
            </w:pPr>
            <w:r>
              <w:rPr>
                <w:sz w:val="18"/>
                <w:szCs w:val="18"/>
              </w:rPr>
              <w:t>2</w:t>
            </w:r>
          </w:p>
        </w:tc>
        <w:tc>
          <w:tcPr>
            <w:tcW w:w="1400" w:type="dxa"/>
            <w:tcBorders>
              <w:top w:val="single" w:color="8FA3B8" w:sz="4" w:space="0"/>
              <w:left w:val="single" w:color="8FA3B8" w:sz="4" w:space="0"/>
              <w:bottom w:val="single" w:color="8FA3B8" w:sz="4" w:space="0"/>
              <w:right w:val="single" w:color="8FA3B8" w:sz="4" w:space="0"/>
            </w:tcBorders>
            <w:shd w:val="clear" w:color="auto" w:fill="F3F6FA"/>
            <w:tcMar>
              <w:top w:w="70" w:type="dxa"/>
              <w:left w:w="90" w:type="dxa"/>
              <w:bottom w:w="70" w:type="dxa"/>
              <w:right w:w="90" w:type="dxa"/>
            </w:tcMar>
            <w:vAlign w:val="center"/>
          </w:tcPr>
          <w:p w14:paraId="16982259">
            <w:r>
              <w:rPr>
                <w:b/>
                <w:bCs/>
                <w:sz w:val="18"/>
                <w:szCs w:val="18"/>
              </w:rPr>
              <w:t>Memantau efisiensi layanan operasional</w:t>
            </w:r>
          </w:p>
        </w:tc>
        <w:tc>
          <w:tcPr>
            <w:tcW w:w="1050" w:type="dxa"/>
            <w:tcBorders>
              <w:top w:val="single" w:color="8FA3B8" w:sz="4" w:space="0"/>
              <w:left w:val="single" w:color="8FA3B8" w:sz="4" w:space="0"/>
              <w:bottom w:val="single" w:color="8FA3B8" w:sz="4" w:space="0"/>
              <w:right w:val="single" w:color="8FA3B8" w:sz="4" w:space="0"/>
            </w:tcBorders>
            <w:shd w:val="clear" w:color="auto" w:fill="F3F6FA"/>
            <w:tcMar>
              <w:top w:w="70" w:type="dxa"/>
              <w:left w:w="90" w:type="dxa"/>
              <w:bottom w:w="70" w:type="dxa"/>
              <w:right w:w="90" w:type="dxa"/>
            </w:tcMar>
            <w:vAlign w:val="center"/>
          </w:tcPr>
          <w:p w14:paraId="656A7830">
            <w:pPr>
              <w:jc w:val="center"/>
            </w:pPr>
            <w:r>
              <w:rPr>
                <w:sz w:val="18"/>
                <w:szCs w:val="18"/>
              </w:rPr>
              <w:t>Operations Manager</w:t>
            </w:r>
          </w:p>
        </w:tc>
        <w:tc>
          <w:tcPr>
            <w:tcW w:w="1150" w:type="dxa"/>
            <w:tcBorders>
              <w:top w:val="single" w:color="8FA3B8" w:sz="4" w:space="0"/>
              <w:left w:val="single" w:color="8FA3B8" w:sz="4" w:space="0"/>
              <w:bottom w:val="single" w:color="8FA3B8" w:sz="4" w:space="0"/>
              <w:right w:val="single" w:color="8FA3B8" w:sz="4" w:space="0"/>
            </w:tcBorders>
            <w:shd w:val="clear" w:color="auto" w:fill="F3F6FA"/>
            <w:tcMar>
              <w:top w:w="70" w:type="dxa"/>
              <w:left w:w="90" w:type="dxa"/>
              <w:bottom w:w="70" w:type="dxa"/>
              <w:right w:w="90" w:type="dxa"/>
            </w:tcMar>
            <w:vAlign w:val="center"/>
          </w:tcPr>
          <w:p w14:paraId="4091AAB2">
            <w:r>
              <w:rPr>
                <w:sz w:val="18"/>
                <w:szCs w:val="18"/>
              </w:rPr>
              <w:t>Rata-rata waktu pemenuhan,</w:t>
            </w:r>
          </w:p>
          <w:p w14:paraId="2F4E3FAA">
            <w:r>
              <w:rPr>
                <w:sz w:val="18"/>
                <w:szCs w:val="18"/>
              </w:rPr>
              <w:t>Jumlah keluhan</w:t>
            </w:r>
          </w:p>
        </w:tc>
        <w:tc>
          <w:tcPr>
            <w:tcW w:w="1500" w:type="dxa"/>
            <w:tcBorders>
              <w:top w:val="single" w:color="8FA3B8" w:sz="4" w:space="0"/>
              <w:left w:val="single" w:color="8FA3B8" w:sz="4" w:space="0"/>
              <w:bottom w:val="single" w:color="8FA3B8" w:sz="4" w:space="0"/>
              <w:right w:val="single" w:color="8FA3B8" w:sz="4" w:space="0"/>
            </w:tcBorders>
            <w:shd w:val="clear" w:color="auto" w:fill="F3F6FA"/>
            <w:tcMar>
              <w:top w:w="70" w:type="dxa"/>
              <w:left w:w="90" w:type="dxa"/>
              <w:bottom w:w="70" w:type="dxa"/>
              <w:right w:w="90" w:type="dxa"/>
            </w:tcMar>
            <w:vAlign w:val="center"/>
          </w:tcPr>
          <w:p w14:paraId="67ED1DCB">
            <w:r>
              <w:rPr>
                <w:sz w:val="18"/>
                <w:szCs w:val="18"/>
              </w:rPr>
              <w:t>Avg_Fulfillment_Hours, Complaint_Count, Month_Start, Branch_ID</w:t>
            </w:r>
          </w:p>
        </w:tc>
        <w:tc>
          <w:tcPr>
            <w:tcW w:w="1150" w:type="dxa"/>
            <w:tcBorders>
              <w:top w:val="single" w:color="8FA3B8" w:sz="4" w:space="0"/>
              <w:left w:val="single" w:color="8FA3B8" w:sz="4" w:space="0"/>
              <w:bottom w:val="single" w:color="8FA3B8" w:sz="4" w:space="0"/>
              <w:right w:val="single" w:color="8FA3B8" w:sz="4" w:space="0"/>
            </w:tcBorders>
            <w:shd w:val="clear" w:color="auto" w:fill="F3F6FA"/>
            <w:tcMar>
              <w:top w:w="70" w:type="dxa"/>
              <w:left w:w="90" w:type="dxa"/>
              <w:bottom w:w="70" w:type="dxa"/>
              <w:right w:w="90" w:type="dxa"/>
            </w:tcMar>
            <w:vAlign w:val="center"/>
          </w:tcPr>
          <w:p w14:paraId="0E9CE810">
            <w:pPr>
              <w:jc w:val="center"/>
            </w:pPr>
            <w:r>
              <w:rPr>
                <w:sz w:val="18"/>
                <w:szCs w:val="18"/>
              </w:rPr>
              <w:t>Fact_Operations</w:t>
            </w:r>
          </w:p>
        </w:tc>
        <w:tc>
          <w:tcPr>
            <w:tcW w:w="950" w:type="dxa"/>
            <w:tcBorders>
              <w:top w:val="single" w:color="8FA3B8" w:sz="4" w:space="0"/>
              <w:left w:val="single" w:color="8FA3B8" w:sz="4" w:space="0"/>
              <w:bottom w:val="single" w:color="8FA3B8" w:sz="4" w:space="0"/>
              <w:right w:val="single" w:color="8FA3B8" w:sz="4" w:space="0"/>
            </w:tcBorders>
            <w:shd w:val="clear" w:color="auto" w:fill="F3F6FA"/>
            <w:tcMar>
              <w:top w:w="70" w:type="dxa"/>
              <w:left w:w="90" w:type="dxa"/>
              <w:bottom w:w="70" w:type="dxa"/>
              <w:right w:w="90" w:type="dxa"/>
            </w:tcMar>
            <w:vAlign w:val="center"/>
          </w:tcPr>
          <w:p w14:paraId="347F7632">
            <w:pPr>
              <w:jc w:val="center"/>
            </w:pPr>
            <w:r>
              <w:rPr>
                <w:sz w:val="18"/>
                <w:szCs w:val="18"/>
              </w:rPr>
              <w:t>Bulanan</w:t>
            </w:r>
          </w:p>
        </w:tc>
        <w:tc>
          <w:tcPr>
            <w:tcW w:w="1426" w:type="dxa"/>
            <w:tcBorders>
              <w:top w:val="single" w:color="8FA3B8" w:sz="4" w:space="0"/>
              <w:left w:val="single" w:color="8FA3B8" w:sz="4" w:space="0"/>
              <w:bottom w:val="single" w:color="8FA3B8" w:sz="4" w:space="0"/>
              <w:right w:val="single" w:color="8FA3B8" w:sz="4" w:space="0"/>
            </w:tcBorders>
            <w:shd w:val="clear" w:color="auto" w:fill="F3F6FA"/>
            <w:tcMar>
              <w:top w:w="70" w:type="dxa"/>
              <w:left w:w="90" w:type="dxa"/>
              <w:bottom w:w="70" w:type="dxa"/>
              <w:right w:w="90" w:type="dxa"/>
            </w:tcMar>
            <w:vAlign w:val="center"/>
          </w:tcPr>
          <w:p w14:paraId="18E6217A">
            <w:r>
              <w:rPr>
                <w:sz w:val="18"/>
                <w:szCs w:val="18"/>
              </w:rPr>
              <w:t>Grain berbeda: tabel ini bergrain bulanan-cabang. Bila digabung paksa dengan Fact_Sales (grain transaksi), baris terduplikasi dan KPI menjadi tidak sahih.</w:t>
            </w:r>
          </w:p>
        </w:tc>
      </w:tr>
      <w:tr w14:paraId="6E417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00" w:type="dxa"/>
            <w:tcBorders>
              <w:top w:val="single" w:color="8FA3B8" w:sz="4" w:space="0"/>
              <w:left w:val="single" w:color="8FA3B8" w:sz="4" w:space="0"/>
              <w:bottom w:val="single" w:color="8FA3B8" w:sz="4" w:space="0"/>
              <w:right w:val="single" w:color="8FA3B8" w:sz="4" w:space="0"/>
            </w:tcBorders>
            <w:tcMar>
              <w:top w:w="70" w:type="dxa"/>
              <w:left w:w="90" w:type="dxa"/>
              <w:bottom w:w="70" w:type="dxa"/>
              <w:right w:w="90" w:type="dxa"/>
            </w:tcMar>
            <w:vAlign w:val="center"/>
          </w:tcPr>
          <w:p w14:paraId="20D55A9F">
            <w:pPr>
              <w:jc w:val="center"/>
            </w:pPr>
            <w:r>
              <w:rPr>
                <w:sz w:val="18"/>
                <w:szCs w:val="18"/>
              </w:rPr>
              <w:t>3</w:t>
            </w:r>
          </w:p>
        </w:tc>
        <w:tc>
          <w:tcPr>
            <w:tcW w:w="1400" w:type="dxa"/>
            <w:tcBorders>
              <w:top w:val="single" w:color="8FA3B8" w:sz="4" w:space="0"/>
              <w:left w:val="single" w:color="8FA3B8" w:sz="4" w:space="0"/>
              <w:bottom w:val="single" w:color="8FA3B8" w:sz="4" w:space="0"/>
              <w:right w:val="single" w:color="8FA3B8" w:sz="4" w:space="0"/>
            </w:tcBorders>
            <w:tcMar>
              <w:top w:w="70" w:type="dxa"/>
              <w:left w:w="90" w:type="dxa"/>
              <w:bottom w:w="70" w:type="dxa"/>
              <w:right w:w="90" w:type="dxa"/>
            </w:tcMar>
            <w:vAlign w:val="center"/>
          </w:tcPr>
          <w:p w14:paraId="34023A10">
            <w:r>
              <w:rPr>
                <w:b/>
                <w:bCs/>
                <w:sz w:val="18"/>
                <w:szCs w:val="18"/>
              </w:rPr>
              <w:t>Menganalisis tingkat pengembalian produk (retur)</w:t>
            </w:r>
          </w:p>
        </w:tc>
        <w:tc>
          <w:tcPr>
            <w:tcW w:w="1050" w:type="dxa"/>
            <w:tcBorders>
              <w:top w:val="single" w:color="8FA3B8" w:sz="4" w:space="0"/>
              <w:left w:val="single" w:color="8FA3B8" w:sz="4" w:space="0"/>
              <w:bottom w:val="single" w:color="8FA3B8" w:sz="4" w:space="0"/>
              <w:right w:val="single" w:color="8FA3B8" w:sz="4" w:space="0"/>
            </w:tcBorders>
            <w:tcMar>
              <w:top w:w="70" w:type="dxa"/>
              <w:left w:w="90" w:type="dxa"/>
              <w:bottom w:w="70" w:type="dxa"/>
              <w:right w:w="90" w:type="dxa"/>
            </w:tcMar>
            <w:vAlign w:val="center"/>
          </w:tcPr>
          <w:p w14:paraId="547A4969">
            <w:pPr>
              <w:jc w:val="center"/>
            </w:pPr>
            <w:r>
              <w:rPr>
                <w:sz w:val="18"/>
                <w:szCs w:val="18"/>
              </w:rPr>
              <w:t>Quality Control / Branch Manager</w:t>
            </w:r>
          </w:p>
        </w:tc>
        <w:tc>
          <w:tcPr>
            <w:tcW w:w="1150" w:type="dxa"/>
            <w:tcBorders>
              <w:top w:val="single" w:color="8FA3B8" w:sz="4" w:space="0"/>
              <w:left w:val="single" w:color="8FA3B8" w:sz="4" w:space="0"/>
              <w:bottom w:val="single" w:color="8FA3B8" w:sz="4" w:space="0"/>
              <w:right w:val="single" w:color="8FA3B8" w:sz="4" w:space="0"/>
            </w:tcBorders>
            <w:tcMar>
              <w:top w:w="70" w:type="dxa"/>
              <w:left w:w="90" w:type="dxa"/>
              <w:bottom w:w="70" w:type="dxa"/>
              <w:right w:w="90" w:type="dxa"/>
            </w:tcMar>
            <w:vAlign w:val="center"/>
          </w:tcPr>
          <w:p w14:paraId="725F1390">
            <w:r>
              <w:rPr>
                <w:sz w:val="18"/>
                <w:szCs w:val="18"/>
              </w:rPr>
              <w:t>Return Rate (%)</w:t>
            </w:r>
          </w:p>
        </w:tc>
        <w:tc>
          <w:tcPr>
            <w:tcW w:w="1500" w:type="dxa"/>
            <w:tcBorders>
              <w:top w:val="single" w:color="8FA3B8" w:sz="4" w:space="0"/>
              <w:left w:val="single" w:color="8FA3B8" w:sz="4" w:space="0"/>
              <w:bottom w:val="single" w:color="8FA3B8" w:sz="4" w:space="0"/>
              <w:right w:val="single" w:color="8FA3B8" w:sz="4" w:space="0"/>
            </w:tcBorders>
            <w:tcMar>
              <w:top w:w="70" w:type="dxa"/>
              <w:left w:w="90" w:type="dxa"/>
              <w:bottom w:w="70" w:type="dxa"/>
              <w:right w:w="90" w:type="dxa"/>
            </w:tcMar>
            <w:vAlign w:val="center"/>
          </w:tcPr>
          <w:p w14:paraId="447E7406">
            <w:r>
              <w:rPr>
                <w:sz w:val="18"/>
                <w:szCs w:val="18"/>
              </w:rPr>
              <w:t>Return_Flag, Transaction_ID, Branch_ID</w:t>
            </w:r>
          </w:p>
        </w:tc>
        <w:tc>
          <w:tcPr>
            <w:tcW w:w="1150" w:type="dxa"/>
            <w:tcBorders>
              <w:top w:val="single" w:color="8FA3B8" w:sz="4" w:space="0"/>
              <w:left w:val="single" w:color="8FA3B8" w:sz="4" w:space="0"/>
              <w:bottom w:val="single" w:color="8FA3B8" w:sz="4" w:space="0"/>
              <w:right w:val="single" w:color="8FA3B8" w:sz="4" w:space="0"/>
            </w:tcBorders>
            <w:tcMar>
              <w:top w:w="70" w:type="dxa"/>
              <w:left w:w="90" w:type="dxa"/>
              <w:bottom w:w="70" w:type="dxa"/>
              <w:right w:w="90" w:type="dxa"/>
            </w:tcMar>
            <w:vAlign w:val="center"/>
          </w:tcPr>
          <w:p w14:paraId="4235D5A2">
            <w:pPr>
              <w:jc w:val="center"/>
            </w:pPr>
            <w:r>
              <w:rPr>
                <w:sz w:val="18"/>
                <w:szCs w:val="18"/>
              </w:rPr>
              <w:t>Fact_Sales</w:t>
            </w:r>
          </w:p>
        </w:tc>
        <w:tc>
          <w:tcPr>
            <w:tcW w:w="950" w:type="dxa"/>
            <w:tcBorders>
              <w:top w:val="single" w:color="8FA3B8" w:sz="4" w:space="0"/>
              <w:left w:val="single" w:color="8FA3B8" w:sz="4" w:space="0"/>
              <w:bottom w:val="single" w:color="8FA3B8" w:sz="4" w:space="0"/>
              <w:right w:val="single" w:color="8FA3B8" w:sz="4" w:space="0"/>
            </w:tcBorders>
            <w:tcMar>
              <w:top w:w="70" w:type="dxa"/>
              <w:left w:w="90" w:type="dxa"/>
              <w:bottom w:w="70" w:type="dxa"/>
              <w:right w:w="90" w:type="dxa"/>
            </w:tcMar>
            <w:vAlign w:val="center"/>
          </w:tcPr>
          <w:p w14:paraId="26517E52">
            <w:pPr>
              <w:jc w:val="center"/>
            </w:pPr>
            <w:r>
              <w:rPr>
                <w:sz w:val="18"/>
                <w:szCs w:val="18"/>
              </w:rPr>
              <w:t>Mingguan</w:t>
            </w:r>
          </w:p>
        </w:tc>
        <w:tc>
          <w:tcPr>
            <w:tcW w:w="1426" w:type="dxa"/>
            <w:tcBorders>
              <w:top w:val="single" w:color="8FA3B8" w:sz="4" w:space="0"/>
              <w:left w:val="single" w:color="8FA3B8" w:sz="4" w:space="0"/>
              <w:bottom w:val="single" w:color="8FA3B8" w:sz="4" w:space="0"/>
              <w:right w:val="single" w:color="8FA3B8" w:sz="4" w:space="0"/>
            </w:tcBorders>
            <w:tcMar>
              <w:top w:w="70" w:type="dxa"/>
              <w:left w:w="90" w:type="dxa"/>
              <w:bottom w:w="70" w:type="dxa"/>
              <w:right w:w="90" w:type="dxa"/>
            </w:tcMar>
            <w:vAlign w:val="center"/>
          </w:tcPr>
          <w:p w14:paraId="1F67DACB">
            <w:r>
              <w:rPr>
                <w:sz w:val="18"/>
                <w:szCs w:val="18"/>
              </w:rPr>
              <w:t>Data retur bergantung pada input kasir. Jika Return_Flag diisi secara tidak konsisten, tingkat retur tampak lebih rendah daripada kondisi sebenarnya.</w:t>
            </w:r>
          </w:p>
        </w:tc>
      </w:tr>
      <w:tr w14:paraId="1E2CF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00" w:type="dxa"/>
            <w:tcBorders>
              <w:top w:val="single" w:color="8FA3B8" w:sz="4" w:space="0"/>
              <w:left w:val="single" w:color="8FA3B8" w:sz="4" w:space="0"/>
              <w:bottom w:val="single" w:color="8FA3B8" w:sz="4" w:space="0"/>
              <w:right w:val="single" w:color="8FA3B8" w:sz="4" w:space="0"/>
            </w:tcBorders>
            <w:shd w:val="clear" w:color="auto" w:fill="F3F6FA"/>
            <w:tcMar>
              <w:top w:w="70" w:type="dxa"/>
              <w:left w:w="90" w:type="dxa"/>
              <w:bottom w:w="70" w:type="dxa"/>
              <w:right w:w="90" w:type="dxa"/>
            </w:tcMar>
            <w:vAlign w:val="center"/>
          </w:tcPr>
          <w:p w14:paraId="5F8FF2EE">
            <w:pPr>
              <w:jc w:val="center"/>
            </w:pPr>
            <w:r>
              <w:rPr>
                <w:sz w:val="18"/>
                <w:szCs w:val="18"/>
              </w:rPr>
              <w:t>4</w:t>
            </w:r>
          </w:p>
        </w:tc>
        <w:tc>
          <w:tcPr>
            <w:tcW w:w="1400" w:type="dxa"/>
            <w:tcBorders>
              <w:top w:val="single" w:color="8FA3B8" w:sz="4" w:space="0"/>
              <w:left w:val="single" w:color="8FA3B8" w:sz="4" w:space="0"/>
              <w:bottom w:val="single" w:color="8FA3B8" w:sz="4" w:space="0"/>
              <w:right w:val="single" w:color="8FA3B8" w:sz="4" w:space="0"/>
            </w:tcBorders>
            <w:shd w:val="clear" w:color="auto" w:fill="F3F6FA"/>
            <w:tcMar>
              <w:top w:w="70" w:type="dxa"/>
              <w:left w:w="90" w:type="dxa"/>
              <w:bottom w:w="70" w:type="dxa"/>
              <w:right w:w="90" w:type="dxa"/>
            </w:tcMar>
            <w:vAlign w:val="center"/>
          </w:tcPr>
          <w:p w14:paraId="30678BAC">
            <w:r>
              <w:rPr>
                <w:b/>
                <w:bCs/>
                <w:sz w:val="18"/>
                <w:szCs w:val="18"/>
              </w:rPr>
              <w:t>Menilai efektivitas kanal penjualan</w:t>
            </w:r>
          </w:p>
        </w:tc>
        <w:tc>
          <w:tcPr>
            <w:tcW w:w="1050" w:type="dxa"/>
            <w:tcBorders>
              <w:top w:val="single" w:color="8FA3B8" w:sz="4" w:space="0"/>
              <w:left w:val="single" w:color="8FA3B8" w:sz="4" w:space="0"/>
              <w:bottom w:val="single" w:color="8FA3B8" w:sz="4" w:space="0"/>
              <w:right w:val="single" w:color="8FA3B8" w:sz="4" w:space="0"/>
            </w:tcBorders>
            <w:shd w:val="clear" w:color="auto" w:fill="F3F6FA"/>
            <w:tcMar>
              <w:top w:w="70" w:type="dxa"/>
              <w:left w:w="90" w:type="dxa"/>
              <w:bottom w:w="70" w:type="dxa"/>
              <w:right w:w="90" w:type="dxa"/>
            </w:tcMar>
            <w:vAlign w:val="center"/>
          </w:tcPr>
          <w:p w14:paraId="0F661EF4">
            <w:pPr>
              <w:jc w:val="center"/>
            </w:pPr>
            <w:r>
              <w:rPr>
                <w:sz w:val="18"/>
                <w:szCs w:val="18"/>
              </w:rPr>
              <w:t>Sales Manager</w:t>
            </w:r>
          </w:p>
        </w:tc>
        <w:tc>
          <w:tcPr>
            <w:tcW w:w="1150" w:type="dxa"/>
            <w:tcBorders>
              <w:top w:val="single" w:color="8FA3B8" w:sz="4" w:space="0"/>
              <w:left w:val="single" w:color="8FA3B8" w:sz="4" w:space="0"/>
              <w:bottom w:val="single" w:color="8FA3B8" w:sz="4" w:space="0"/>
              <w:right w:val="single" w:color="8FA3B8" w:sz="4" w:space="0"/>
            </w:tcBorders>
            <w:shd w:val="clear" w:color="auto" w:fill="F3F6FA"/>
            <w:tcMar>
              <w:top w:w="70" w:type="dxa"/>
              <w:left w:w="90" w:type="dxa"/>
              <w:bottom w:w="70" w:type="dxa"/>
              <w:right w:w="90" w:type="dxa"/>
            </w:tcMar>
            <w:vAlign w:val="center"/>
          </w:tcPr>
          <w:p w14:paraId="5BBE2578">
            <w:r>
              <w:rPr>
                <w:sz w:val="18"/>
                <w:szCs w:val="18"/>
              </w:rPr>
              <w:t>Revenue per Channel,</w:t>
            </w:r>
          </w:p>
          <w:p w14:paraId="28B05A97">
            <w:r>
              <w:rPr>
                <w:sz w:val="18"/>
                <w:szCs w:val="18"/>
              </w:rPr>
              <w:t>Transaction Volume</w:t>
            </w:r>
          </w:p>
        </w:tc>
        <w:tc>
          <w:tcPr>
            <w:tcW w:w="1500" w:type="dxa"/>
            <w:tcBorders>
              <w:top w:val="single" w:color="8FA3B8" w:sz="4" w:space="0"/>
              <w:left w:val="single" w:color="8FA3B8" w:sz="4" w:space="0"/>
              <w:bottom w:val="single" w:color="8FA3B8" w:sz="4" w:space="0"/>
              <w:right w:val="single" w:color="8FA3B8" w:sz="4" w:space="0"/>
            </w:tcBorders>
            <w:shd w:val="clear" w:color="auto" w:fill="F3F6FA"/>
            <w:tcMar>
              <w:top w:w="70" w:type="dxa"/>
              <w:left w:w="90" w:type="dxa"/>
              <w:bottom w:w="70" w:type="dxa"/>
              <w:right w:w="90" w:type="dxa"/>
            </w:tcMar>
            <w:vAlign w:val="center"/>
          </w:tcPr>
          <w:p w14:paraId="10901F36">
            <w:r>
              <w:rPr>
                <w:sz w:val="18"/>
                <w:szCs w:val="18"/>
              </w:rPr>
              <w:t>Channel, Revenue, Profit, Transaction_ID</w:t>
            </w:r>
          </w:p>
        </w:tc>
        <w:tc>
          <w:tcPr>
            <w:tcW w:w="1150" w:type="dxa"/>
            <w:tcBorders>
              <w:top w:val="single" w:color="8FA3B8" w:sz="4" w:space="0"/>
              <w:left w:val="single" w:color="8FA3B8" w:sz="4" w:space="0"/>
              <w:bottom w:val="single" w:color="8FA3B8" w:sz="4" w:space="0"/>
              <w:right w:val="single" w:color="8FA3B8" w:sz="4" w:space="0"/>
            </w:tcBorders>
            <w:shd w:val="clear" w:color="auto" w:fill="F3F6FA"/>
            <w:tcMar>
              <w:top w:w="70" w:type="dxa"/>
              <w:left w:w="90" w:type="dxa"/>
              <w:bottom w:w="70" w:type="dxa"/>
              <w:right w:w="90" w:type="dxa"/>
            </w:tcMar>
            <w:vAlign w:val="center"/>
          </w:tcPr>
          <w:p w14:paraId="040A119E">
            <w:pPr>
              <w:jc w:val="center"/>
            </w:pPr>
            <w:r>
              <w:rPr>
                <w:sz w:val="18"/>
                <w:szCs w:val="18"/>
              </w:rPr>
              <w:t>Fact_Sales</w:t>
            </w:r>
          </w:p>
        </w:tc>
        <w:tc>
          <w:tcPr>
            <w:tcW w:w="950" w:type="dxa"/>
            <w:tcBorders>
              <w:top w:val="single" w:color="8FA3B8" w:sz="4" w:space="0"/>
              <w:left w:val="single" w:color="8FA3B8" w:sz="4" w:space="0"/>
              <w:bottom w:val="single" w:color="8FA3B8" w:sz="4" w:space="0"/>
              <w:right w:val="single" w:color="8FA3B8" w:sz="4" w:space="0"/>
            </w:tcBorders>
            <w:shd w:val="clear" w:color="auto" w:fill="F3F6FA"/>
            <w:tcMar>
              <w:top w:w="70" w:type="dxa"/>
              <w:left w:w="90" w:type="dxa"/>
              <w:bottom w:w="70" w:type="dxa"/>
              <w:right w:w="90" w:type="dxa"/>
            </w:tcMar>
            <w:vAlign w:val="center"/>
          </w:tcPr>
          <w:p w14:paraId="11529A51">
            <w:pPr>
              <w:jc w:val="center"/>
            </w:pPr>
            <w:r>
              <w:rPr>
                <w:sz w:val="18"/>
                <w:szCs w:val="18"/>
              </w:rPr>
              <w:t>Mingguan</w:t>
            </w:r>
          </w:p>
        </w:tc>
        <w:tc>
          <w:tcPr>
            <w:tcW w:w="1426" w:type="dxa"/>
            <w:tcBorders>
              <w:top w:val="single" w:color="8FA3B8" w:sz="4" w:space="0"/>
              <w:left w:val="single" w:color="8FA3B8" w:sz="4" w:space="0"/>
              <w:bottom w:val="single" w:color="8FA3B8" w:sz="4" w:space="0"/>
              <w:right w:val="single" w:color="8FA3B8" w:sz="4" w:space="0"/>
            </w:tcBorders>
            <w:shd w:val="clear" w:color="auto" w:fill="F3F6FA"/>
            <w:tcMar>
              <w:top w:w="70" w:type="dxa"/>
              <w:left w:w="90" w:type="dxa"/>
              <w:bottom w:w="70" w:type="dxa"/>
              <w:right w:w="90" w:type="dxa"/>
            </w:tcMar>
            <w:vAlign w:val="center"/>
          </w:tcPr>
          <w:p w14:paraId="28F6C695">
            <w:r>
              <w:rPr>
                <w:sz w:val="18"/>
                <w:szCs w:val="18"/>
              </w:rPr>
              <w:t>Penulisan tidak seragam (contoh: "toko" vs "Toko") apabila standardisasi pada Tahap 1 tidak diterapkan dengan benar.</w:t>
            </w:r>
          </w:p>
        </w:tc>
      </w:tr>
      <w:tr w14:paraId="1C17C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00" w:type="dxa"/>
            <w:tcBorders>
              <w:top w:val="single" w:color="8FA3B8" w:sz="4" w:space="0"/>
              <w:left w:val="single" w:color="8FA3B8" w:sz="4" w:space="0"/>
              <w:bottom w:val="single" w:color="8FA3B8" w:sz="4" w:space="0"/>
              <w:right w:val="single" w:color="8FA3B8" w:sz="4" w:space="0"/>
            </w:tcBorders>
            <w:tcMar>
              <w:top w:w="70" w:type="dxa"/>
              <w:left w:w="90" w:type="dxa"/>
              <w:bottom w:w="70" w:type="dxa"/>
              <w:right w:w="90" w:type="dxa"/>
            </w:tcMar>
            <w:vAlign w:val="center"/>
          </w:tcPr>
          <w:p w14:paraId="3EBD02A3">
            <w:pPr>
              <w:jc w:val="center"/>
            </w:pPr>
            <w:r>
              <w:rPr>
                <w:sz w:val="18"/>
                <w:szCs w:val="18"/>
              </w:rPr>
              <w:t>5</w:t>
            </w:r>
          </w:p>
        </w:tc>
        <w:tc>
          <w:tcPr>
            <w:tcW w:w="1400" w:type="dxa"/>
            <w:tcBorders>
              <w:top w:val="single" w:color="8FA3B8" w:sz="4" w:space="0"/>
              <w:left w:val="single" w:color="8FA3B8" w:sz="4" w:space="0"/>
              <w:bottom w:val="single" w:color="8FA3B8" w:sz="4" w:space="0"/>
              <w:right w:val="single" w:color="8FA3B8" w:sz="4" w:space="0"/>
            </w:tcBorders>
            <w:tcMar>
              <w:top w:w="70" w:type="dxa"/>
              <w:left w:w="90" w:type="dxa"/>
              <w:bottom w:w="70" w:type="dxa"/>
              <w:right w:w="90" w:type="dxa"/>
            </w:tcMar>
            <w:vAlign w:val="center"/>
          </w:tcPr>
          <w:p w14:paraId="741AE9D3">
            <w:r>
              <w:rPr>
                <w:b/>
                <w:bCs/>
                <w:sz w:val="18"/>
                <w:szCs w:val="18"/>
              </w:rPr>
              <w:t>Memantau kepuasan pelanggan</w:t>
            </w:r>
          </w:p>
        </w:tc>
        <w:tc>
          <w:tcPr>
            <w:tcW w:w="1050" w:type="dxa"/>
            <w:tcBorders>
              <w:top w:val="single" w:color="8FA3B8" w:sz="4" w:space="0"/>
              <w:left w:val="single" w:color="8FA3B8" w:sz="4" w:space="0"/>
              <w:bottom w:val="single" w:color="8FA3B8" w:sz="4" w:space="0"/>
              <w:right w:val="single" w:color="8FA3B8" w:sz="4" w:space="0"/>
            </w:tcBorders>
            <w:tcMar>
              <w:top w:w="70" w:type="dxa"/>
              <w:left w:w="90" w:type="dxa"/>
              <w:bottom w:w="70" w:type="dxa"/>
              <w:right w:w="90" w:type="dxa"/>
            </w:tcMar>
            <w:vAlign w:val="center"/>
          </w:tcPr>
          <w:p w14:paraId="47892FD9">
            <w:pPr>
              <w:jc w:val="center"/>
            </w:pPr>
            <w:r>
              <w:rPr>
                <w:sz w:val="18"/>
                <w:szCs w:val="18"/>
              </w:rPr>
              <w:t>Customer Success Manager</w:t>
            </w:r>
          </w:p>
        </w:tc>
        <w:tc>
          <w:tcPr>
            <w:tcW w:w="1150" w:type="dxa"/>
            <w:tcBorders>
              <w:top w:val="single" w:color="8FA3B8" w:sz="4" w:space="0"/>
              <w:left w:val="single" w:color="8FA3B8" w:sz="4" w:space="0"/>
              <w:bottom w:val="single" w:color="8FA3B8" w:sz="4" w:space="0"/>
              <w:right w:val="single" w:color="8FA3B8" w:sz="4" w:space="0"/>
            </w:tcBorders>
            <w:tcMar>
              <w:top w:w="70" w:type="dxa"/>
              <w:left w:w="90" w:type="dxa"/>
              <w:bottom w:w="70" w:type="dxa"/>
              <w:right w:w="90" w:type="dxa"/>
            </w:tcMar>
            <w:vAlign w:val="center"/>
          </w:tcPr>
          <w:p w14:paraId="74FD7CC2">
            <w:r>
              <w:rPr>
                <w:sz w:val="18"/>
                <w:szCs w:val="18"/>
              </w:rPr>
              <w:t>Rata-rata Satisfaction Score</w:t>
            </w:r>
          </w:p>
        </w:tc>
        <w:tc>
          <w:tcPr>
            <w:tcW w:w="1500" w:type="dxa"/>
            <w:tcBorders>
              <w:top w:val="single" w:color="8FA3B8" w:sz="4" w:space="0"/>
              <w:left w:val="single" w:color="8FA3B8" w:sz="4" w:space="0"/>
              <w:bottom w:val="single" w:color="8FA3B8" w:sz="4" w:space="0"/>
              <w:right w:val="single" w:color="8FA3B8" w:sz="4" w:space="0"/>
            </w:tcBorders>
            <w:tcMar>
              <w:top w:w="70" w:type="dxa"/>
              <w:left w:w="90" w:type="dxa"/>
              <w:bottom w:w="70" w:type="dxa"/>
              <w:right w:w="90" w:type="dxa"/>
            </w:tcMar>
            <w:vAlign w:val="center"/>
          </w:tcPr>
          <w:p w14:paraId="3BA81204">
            <w:r>
              <w:rPr>
                <w:sz w:val="18"/>
                <w:szCs w:val="18"/>
              </w:rPr>
              <w:t>Satisfaction_Score, Branch_ID, Transaction_Date</w:t>
            </w:r>
          </w:p>
        </w:tc>
        <w:tc>
          <w:tcPr>
            <w:tcW w:w="1150" w:type="dxa"/>
            <w:tcBorders>
              <w:top w:val="single" w:color="8FA3B8" w:sz="4" w:space="0"/>
              <w:left w:val="single" w:color="8FA3B8" w:sz="4" w:space="0"/>
              <w:bottom w:val="single" w:color="8FA3B8" w:sz="4" w:space="0"/>
              <w:right w:val="single" w:color="8FA3B8" w:sz="4" w:space="0"/>
            </w:tcBorders>
            <w:tcMar>
              <w:top w:w="70" w:type="dxa"/>
              <w:left w:w="90" w:type="dxa"/>
              <w:bottom w:w="70" w:type="dxa"/>
              <w:right w:w="90" w:type="dxa"/>
            </w:tcMar>
            <w:vAlign w:val="center"/>
          </w:tcPr>
          <w:p w14:paraId="39C800E4">
            <w:pPr>
              <w:jc w:val="center"/>
            </w:pPr>
            <w:r>
              <w:rPr>
                <w:sz w:val="18"/>
                <w:szCs w:val="18"/>
              </w:rPr>
              <w:t>Fact_Sales</w:t>
            </w:r>
          </w:p>
        </w:tc>
        <w:tc>
          <w:tcPr>
            <w:tcW w:w="950" w:type="dxa"/>
            <w:tcBorders>
              <w:top w:val="single" w:color="8FA3B8" w:sz="4" w:space="0"/>
              <w:left w:val="single" w:color="8FA3B8" w:sz="4" w:space="0"/>
              <w:bottom w:val="single" w:color="8FA3B8" w:sz="4" w:space="0"/>
              <w:right w:val="single" w:color="8FA3B8" w:sz="4" w:space="0"/>
            </w:tcBorders>
            <w:tcMar>
              <w:top w:w="70" w:type="dxa"/>
              <w:left w:w="90" w:type="dxa"/>
              <w:bottom w:w="70" w:type="dxa"/>
              <w:right w:w="90" w:type="dxa"/>
            </w:tcMar>
            <w:vAlign w:val="center"/>
          </w:tcPr>
          <w:p w14:paraId="48D6F1B6">
            <w:pPr>
              <w:jc w:val="center"/>
            </w:pPr>
            <w:r>
              <w:rPr>
                <w:sz w:val="18"/>
                <w:szCs w:val="18"/>
              </w:rPr>
              <w:t>Bulanan</w:t>
            </w:r>
          </w:p>
        </w:tc>
        <w:tc>
          <w:tcPr>
            <w:tcW w:w="1426" w:type="dxa"/>
            <w:tcBorders>
              <w:top w:val="single" w:color="8FA3B8" w:sz="4" w:space="0"/>
              <w:left w:val="single" w:color="8FA3B8" w:sz="4" w:space="0"/>
              <w:bottom w:val="single" w:color="8FA3B8" w:sz="4" w:space="0"/>
              <w:right w:val="single" w:color="8FA3B8" w:sz="4" w:space="0"/>
            </w:tcBorders>
            <w:tcMar>
              <w:top w:w="70" w:type="dxa"/>
              <w:left w:w="90" w:type="dxa"/>
              <w:bottom w:w="70" w:type="dxa"/>
              <w:right w:w="90" w:type="dxa"/>
            </w:tcMar>
            <w:vAlign w:val="center"/>
          </w:tcPr>
          <w:p w14:paraId="7903A682">
            <w:r>
              <w:rPr>
                <w:sz w:val="18"/>
                <w:szCs w:val="18"/>
              </w:rPr>
              <w:t>Terdapat 282 data null/kosong. Jika null diganti 0, rata-rata skor turun drastis sehingga gambaran kepuasan menjadi bias atau keliru.</w:t>
            </w:r>
          </w:p>
        </w:tc>
      </w:tr>
    </w:tbl>
    <w:p w14:paraId="588BA7A4">
      <w:pPr>
        <w:keepNext/>
        <w:spacing w:before="280" w:after="160"/>
      </w:pPr>
      <w:r>
        <w:rPr>
          <w:b/>
          <w:bCs/>
        </w:rPr>
        <w:t>4. AUDIT KEY DAN ORPHAN KEY B099</w:t>
      </w:r>
    </w:p>
    <w:p w14:paraId="00AB12F4">
      <w:pPr>
        <w:spacing w:before="120" w:after="200"/>
        <w:jc w:val="center"/>
      </w:pPr>
      <w:r>
        <w:drawing>
          <wp:inline distT="0" distB="0" distL="0" distR="0">
            <wp:extent cx="5334000" cy="2362200"/>
            <wp:effectExtent l="0" t="0" r="0" b="0"/>
            <wp:docPr id="4" name="i-004.png" descr="i-004.png" title="i-0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004.png" descr="i-004.png" title="i-004.png"/>
                    <pic:cNvPicPr>
                      <a:picLocks noChangeAspect="1" noChangeArrowheads="1"/>
                    </pic:cNvPicPr>
                  </pic:nvPicPr>
                  <pic:blipFill>
                    <a:blip r:embed="rId7"/>
                    <a:srcRect/>
                    <a:stretch>
                      <a:fillRect/>
                    </a:stretch>
                  </pic:blipFill>
                  <pic:spPr>
                    <a:xfrm>
                      <a:off x="0" y="0"/>
                      <a:ext cx="5334000" cy="2362200"/>
                    </a:xfrm>
                    <a:prstGeom prst="rect">
                      <a:avLst/>
                    </a:prstGeom>
                  </pic:spPr>
                </pic:pic>
              </a:graphicData>
            </a:graphic>
          </wp:inline>
        </w:drawing>
      </w:r>
    </w:p>
    <w:p w14:paraId="3E02BBFC">
      <w:pPr>
        <w:spacing w:before="120" w:after="200"/>
        <w:jc w:val="center"/>
      </w:pPr>
      <w:r>
        <w:drawing>
          <wp:inline distT="0" distB="0" distL="0" distR="0">
            <wp:extent cx="5334000" cy="2362200"/>
            <wp:effectExtent l="0" t="0" r="0" b="0"/>
            <wp:docPr id="5" name="i-005.png" descr="i-005.png" title="i-0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005.png" descr="i-005.png" title="i-005.png"/>
                    <pic:cNvPicPr>
                      <a:picLocks noChangeAspect="1" noChangeArrowheads="1"/>
                    </pic:cNvPicPr>
                  </pic:nvPicPr>
                  <pic:blipFill>
                    <a:blip r:embed="rId8"/>
                    <a:srcRect/>
                    <a:stretch>
                      <a:fillRect/>
                    </a:stretch>
                  </pic:blipFill>
                  <pic:spPr>
                    <a:xfrm>
                      <a:off x="0" y="0"/>
                      <a:ext cx="5334000" cy="2362200"/>
                    </a:xfrm>
                    <a:prstGeom prst="rect">
                      <a:avLst/>
                    </a:prstGeom>
                  </pic:spPr>
                </pic:pic>
              </a:graphicData>
            </a:graphic>
          </wp:inline>
        </w:drawing>
      </w:r>
    </w:p>
    <w:p w14:paraId="09F285DF">
      <w:pPr>
        <w:keepNext/>
        <w:spacing w:before="280" w:after="160"/>
      </w:pPr>
      <w:r>
        <w:rPr>
          <w:b/>
          <w:bCs/>
        </w:rPr>
        <w:t>5. KEPUTUSAN PENANGANAN B099</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6826"/>
      </w:tblGrid>
      <w:tr w14:paraId="28565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8FA3B8" w:sz="4" w:space="0"/>
              <w:left w:val="single" w:color="8FA3B8" w:sz="4" w:space="0"/>
              <w:bottom w:val="single" w:color="8FA3B8" w:sz="4" w:space="0"/>
              <w:right w:val="single" w:color="8FA3B8" w:sz="4" w:space="0"/>
            </w:tcBorders>
            <w:shd w:val="clear" w:color="auto" w:fill="E3ECF5"/>
            <w:tcMar>
              <w:top w:w="70" w:type="dxa"/>
              <w:left w:w="90" w:type="dxa"/>
              <w:bottom w:w="70" w:type="dxa"/>
              <w:right w:w="90" w:type="dxa"/>
            </w:tcMar>
            <w:vAlign w:val="center"/>
          </w:tcPr>
          <w:p w14:paraId="38067A5A">
            <w:r>
              <w:rPr>
                <w:b/>
                <w:bCs/>
                <w:sz w:val="20"/>
                <w:szCs w:val="20"/>
              </w:rPr>
              <w:t>Pilihan</w:t>
            </w:r>
          </w:p>
        </w:tc>
        <w:tc>
          <w:tcPr>
            <w:tcW w:w="6826" w:type="dxa"/>
            <w:tcBorders>
              <w:top w:val="single" w:color="8FA3B8" w:sz="4" w:space="0"/>
              <w:left w:val="single" w:color="8FA3B8" w:sz="4" w:space="0"/>
              <w:bottom w:val="single" w:color="8FA3B8" w:sz="4" w:space="0"/>
              <w:right w:val="single" w:color="8FA3B8" w:sz="4" w:space="0"/>
            </w:tcBorders>
            <w:tcMar>
              <w:top w:w="70" w:type="dxa"/>
              <w:left w:w="90" w:type="dxa"/>
              <w:bottom w:w="70" w:type="dxa"/>
              <w:right w:w="90" w:type="dxa"/>
            </w:tcMar>
            <w:vAlign w:val="center"/>
          </w:tcPr>
          <w:p w14:paraId="6B90AD54">
            <w:r>
              <w:rPr>
                <w:b/>
                <w:bCs/>
                <w:sz w:val="20"/>
                <w:szCs w:val="20"/>
              </w:rPr>
              <w:t>Dikelompokkan sebagai "Unknown/Unmapped Branch"</w:t>
            </w:r>
          </w:p>
        </w:tc>
      </w:tr>
      <w:tr w14:paraId="579FB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8FA3B8" w:sz="4" w:space="0"/>
              <w:left w:val="single" w:color="8FA3B8" w:sz="4" w:space="0"/>
              <w:bottom w:val="single" w:color="8FA3B8" w:sz="4" w:space="0"/>
              <w:right w:val="single" w:color="8FA3B8" w:sz="4" w:space="0"/>
            </w:tcBorders>
            <w:shd w:val="clear" w:color="auto" w:fill="E3ECF5"/>
            <w:tcMar>
              <w:top w:w="70" w:type="dxa"/>
              <w:left w:w="90" w:type="dxa"/>
              <w:bottom w:w="70" w:type="dxa"/>
              <w:right w:w="90" w:type="dxa"/>
            </w:tcMar>
            <w:vAlign w:val="center"/>
          </w:tcPr>
          <w:p w14:paraId="13A77E98">
            <w:r>
              <w:rPr>
                <w:b/>
                <w:bCs/>
                <w:sz w:val="20"/>
                <w:szCs w:val="20"/>
              </w:rPr>
              <w:t>Alasan bisnis</w:t>
            </w:r>
          </w:p>
        </w:tc>
        <w:tc>
          <w:tcPr>
            <w:tcW w:w="6826" w:type="dxa"/>
            <w:tcBorders>
              <w:top w:val="single" w:color="8FA3B8" w:sz="4" w:space="0"/>
              <w:left w:val="single" w:color="8FA3B8" w:sz="4" w:space="0"/>
              <w:bottom w:val="single" w:color="8FA3B8" w:sz="4" w:space="0"/>
              <w:right w:val="single" w:color="8FA3B8" w:sz="4" w:space="0"/>
            </w:tcBorders>
            <w:tcMar>
              <w:top w:w="70" w:type="dxa"/>
              <w:left w:w="90" w:type="dxa"/>
              <w:bottom w:w="70" w:type="dxa"/>
              <w:right w:w="90" w:type="dxa"/>
            </w:tcMar>
            <w:vAlign w:val="center"/>
          </w:tcPr>
          <w:p w14:paraId="1BB05AFF">
            <w:r>
              <w:rPr>
                <w:sz w:val="20"/>
                <w:szCs w:val="20"/>
              </w:rPr>
              <w:t>Transaksi B099 memiliki data transaksi yang lengkap (Transaction_ID, Product_ID, Customer_ID, Revenue, Profit), tetapi tidak ada bukti yang dapat memetakannya ke cabang resmi (B001–B006). Dengan menempatkannya pada "Unknown/Unmapped Branch", total pendapatan perusahaan tetap terjaga tanpa harus mengaitkannya ke cabang yang keliru.</w:t>
            </w:r>
          </w:p>
        </w:tc>
      </w:tr>
      <w:tr w14:paraId="5B080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8FA3B8" w:sz="4" w:space="0"/>
              <w:left w:val="single" w:color="8FA3B8" w:sz="4" w:space="0"/>
              <w:bottom w:val="single" w:color="8FA3B8" w:sz="4" w:space="0"/>
              <w:right w:val="single" w:color="8FA3B8" w:sz="4" w:space="0"/>
            </w:tcBorders>
            <w:shd w:val="clear" w:color="auto" w:fill="E3ECF5"/>
            <w:tcMar>
              <w:top w:w="70" w:type="dxa"/>
              <w:left w:w="90" w:type="dxa"/>
              <w:bottom w:w="70" w:type="dxa"/>
              <w:right w:w="90" w:type="dxa"/>
            </w:tcMar>
            <w:vAlign w:val="center"/>
          </w:tcPr>
          <w:p w14:paraId="2453F242">
            <w:r>
              <w:rPr>
                <w:b/>
                <w:bCs/>
                <w:sz w:val="20"/>
                <w:szCs w:val="20"/>
              </w:rPr>
              <w:t>Bukti data</w:t>
            </w:r>
          </w:p>
        </w:tc>
        <w:tc>
          <w:tcPr>
            <w:tcW w:w="6826" w:type="dxa"/>
            <w:tcBorders>
              <w:top w:val="single" w:color="8FA3B8" w:sz="4" w:space="0"/>
              <w:left w:val="single" w:color="8FA3B8" w:sz="4" w:space="0"/>
              <w:bottom w:val="single" w:color="8FA3B8" w:sz="4" w:space="0"/>
              <w:right w:val="single" w:color="8FA3B8" w:sz="4" w:space="0"/>
            </w:tcBorders>
            <w:tcMar>
              <w:top w:w="70" w:type="dxa"/>
              <w:left w:w="90" w:type="dxa"/>
              <w:bottom w:w="70" w:type="dxa"/>
              <w:right w:w="90" w:type="dxa"/>
            </w:tcMar>
            <w:vAlign w:val="center"/>
          </w:tcPr>
          <w:p w14:paraId="4381863F">
            <w:r>
              <w:rPr>
                <w:sz w:val="20"/>
                <w:szCs w:val="20"/>
              </w:rPr>
              <w:t>Ditemukan 4 transaksi B099 (T0005749, T0006010, T0009222, T0015021) yang tidak punya pasangan di Dim_Branch yang sah (B001–B006). Total Revenue ±Rp 362.760,93 dan total Profit ±Rp 139.560,93.</w:t>
            </w:r>
          </w:p>
        </w:tc>
      </w:tr>
      <w:tr w14:paraId="48DA82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8FA3B8" w:sz="4" w:space="0"/>
              <w:left w:val="single" w:color="8FA3B8" w:sz="4" w:space="0"/>
              <w:bottom w:val="single" w:color="8FA3B8" w:sz="4" w:space="0"/>
              <w:right w:val="single" w:color="8FA3B8" w:sz="4" w:space="0"/>
            </w:tcBorders>
            <w:shd w:val="clear" w:color="auto" w:fill="E3ECF5"/>
            <w:tcMar>
              <w:top w:w="70" w:type="dxa"/>
              <w:left w:w="90" w:type="dxa"/>
              <w:bottom w:w="70" w:type="dxa"/>
              <w:right w:w="90" w:type="dxa"/>
            </w:tcMar>
            <w:vAlign w:val="center"/>
          </w:tcPr>
          <w:p w14:paraId="5E3C4DF4">
            <w:r>
              <w:rPr>
                <w:b/>
                <w:bCs/>
                <w:sz w:val="20"/>
                <w:szCs w:val="20"/>
              </w:rPr>
              <w:t>Dampak pada total perusahaan</w:t>
            </w:r>
          </w:p>
        </w:tc>
        <w:tc>
          <w:tcPr>
            <w:tcW w:w="6826" w:type="dxa"/>
            <w:tcBorders>
              <w:top w:val="single" w:color="8FA3B8" w:sz="4" w:space="0"/>
              <w:left w:val="single" w:color="8FA3B8" w:sz="4" w:space="0"/>
              <w:bottom w:val="single" w:color="8FA3B8" w:sz="4" w:space="0"/>
              <w:right w:val="single" w:color="8FA3B8" w:sz="4" w:space="0"/>
            </w:tcBorders>
            <w:tcMar>
              <w:top w:w="70" w:type="dxa"/>
              <w:left w:w="90" w:type="dxa"/>
              <w:bottom w:w="70" w:type="dxa"/>
              <w:right w:w="90" w:type="dxa"/>
            </w:tcMar>
            <w:vAlign w:val="center"/>
          </w:tcPr>
          <w:p w14:paraId="4A876FD8">
            <w:r>
              <w:rPr>
                <w:sz w:val="20"/>
                <w:szCs w:val="20"/>
              </w:rPr>
              <w:t>Total Revenue dan Profit perusahaan tidak berubah (tetap mencakup 15.712 transaksi). Revenue B099 sebesar ±Rp 362.760,93 tetap tercatat dalam kategori "Unknown/Unmapped Branch".</w:t>
            </w:r>
          </w:p>
        </w:tc>
      </w:tr>
      <w:tr w14:paraId="6C6DD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8FA3B8" w:sz="4" w:space="0"/>
              <w:left w:val="single" w:color="8FA3B8" w:sz="4" w:space="0"/>
              <w:bottom w:val="single" w:color="8FA3B8" w:sz="4" w:space="0"/>
              <w:right w:val="single" w:color="8FA3B8" w:sz="4" w:space="0"/>
            </w:tcBorders>
            <w:shd w:val="clear" w:color="auto" w:fill="E3ECF5"/>
            <w:tcMar>
              <w:top w:w="70" w:type="dxa"/>
              <w:left w:w="90" w:type="dxa"/>
              <w:bottom w:w="70" w:type="dxa"/>
              <w:right w:w="90" w:type="dxa"/>
            </w:tcMar>
            <w:vAlign w:val="center"/>
          </w:tcPr>
          <w:p w14:paraId="01BAB769">
            <w:r>
              <w:rPr>
                <w:b/>
                <w:bCs/>
                <w:sz w:val="20"/>
                <w:szCs w:val="20"/>
              </w:rPr>
              <w:t>Dampak pada peringkat cabang</w:t>
            </w:r>
          </w:p>
        </w:tc>
        <w:tc>
          <w:tcPr>
            <w:tcW w:w="6826" w:type="dxa"/>
            <w:tcBorders>
              <w:top w:val="single" w:color="8FA3B8" w:sz="4" w:space="0"/>
              <w:left w:val="single" w:color="8FA3B8" w:sz="4" w:space="0"/>
              <w:bottom w:val="single" w:color="8FA3B8" w:sz="4" w:space="0"/>
              <w:right w:val="single" w:color="8FA3B8" w:sz="4" w:space="0"/>
            </w:tcBorders>
            <w:tcMar>
              <w:top w:w="70" w:type="dxa"/>
              <w:left w:w="90" w:type="dxa"/>
              <w:bottom w:w="70" w:type="dxa"/>
              <w:right w:w="90" w:type="dxa"/>
            </w:tcMar>
            <w:vAlign w:val="center"/>
          </w:tcPr>
          <w:p w14:paraId="731AF675">
            <w:r>
              <w:rPr>
                <w:sz w:val="20"/>
                <w:szCs w:val="20"/>
              </w:rPr>
              <w:t>Transaksi B099 dimasukkan ke kategori "Unknown/Unmapped Branch". Kategori ini tidak ikut dalam peringkat/perbandingan, sehingga perbandingan kinerja antarcabang resmi (B001–B006) tetap adil.</w:t>
            </w:r>
          </w:p>
        </w:tc>
      </w:tr>
      <w:tr w14:paraId="3D1306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8FA3B8" w:sz="4" w:space="0"/>
              <w:left w:val="single" w:color="8FA3B8" w:sz="4" w:space="0"/>
              <w:bottom w:val="single" w:color="8FA3B8" w:sz="4" w:space="0"/>
              <w:right w:val="single" w:color="8FA3B8" w:sz="4" w:space="0"/>
            </w:tcBorders>
            <w:shd w:val="clear" w:color="auto" w:fill="E3ECF5"/>
            <w:tcMar>
              <w:top w:w="70" w:type="dxa"/>
              <w:left w:w="90" w:type="dxa"/>
              <w:bottom w:w="70" w:type="dxa"/>
              <w:right w:w="90" w:type="dxa"/>
            </w:tcMar>
            <w:vAlign w:val="center"/>
          </w:tcPr>
          <w:p w14:paraId="4C449884">
            <w:r>
              <w:rPr>
                <w:b/>
                <w:bCs/>
                <w:sz w:val="20"/>
                <w:szCs w:val="20"/>
              </w:rPr>
              <w:t>Risiko bila keputusan keliru</w:t>
            </w:r>
          </w:p>
        </w:tc>
        <w:tc>
          <w:tcPr>
            <w:tcW w:w="6826" w:type="dxa"/>
            <w:tcBorders>
              <w:top w:val="single" w:color="8FA3B8" w:sz="4" w:space="0"/>
              <w:left w:val="single" w:color="8FA3B8" w:sz="4" w:space="0"/>
              <w:bottom w:val="single" w:color="8FA3B8" w:sz="4" w:space="0"/>
              <w:right w:val="single" w:color="8FA3B8" w:sz="4" w:space="0"/>
            </w:tcBorders>
            <w:tcMar>
              <w:top w:w="70" w:type="dxa"/>
              <w:left w:w="90" w:type="dxa"/>
              <w:bottom w:w="70" w:type="dxa"/>
              <w:right w:w="90" w:type="dxa"/>
            </w:tcMar>
            <w:vAlign w:val="center"/>
          </w:tcPr>
          <w:p w14:paraId="7E9BE0FB">
            <w:r>
              <w:rPr>
                <w:sz w:val="20"/>
                <w:szCs w:val="20"/>
              </w:rPr>
              <w:t>Bila B099 dipaksakan menjadi bagian dari B001–B006 tanpa bukti, KPI cabang yang bersangkutan akan terinflasi secara tidak adil. Bila di-exclude, total pendapatan perusahaan akan understated (lebih rendah dari yang sebenarnya) dibandingkan jejak audit yang hilang.</w:t>
            </w:r>
          </w:p>
        </w:tc>
      </w:tr>
      <w:tr w14:paraId="31EF61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8FA3B8" w:sz="4" w:space="0"/>
              <w:left w:val="single" w:color="8FA3B8" w:sz="4" w:space="0"/>
              <w:bottom w:val="single" w:color="8FA3B8" w:sz="4" w:space="0"/>
              <w:right w:val="single" w:color="8FA3B8" w:sz="4" w:space="0"/>
            </w:tcBorders>
            <w:shd w:val="clear" w:color="auto" w:fill="E3ECF5"/>
            <w:tcMar>
              <w:top w:w="70" w:type="dxa"/>
              <w:left w:w="90" w:type="dxa"/>
              <w:bottom w:w="70" w:type="dxa"/>
              <w:right w:w="90" w:type="dxa"/>
            </w:tcMar>
            <w:vAlign w:val="center"/>
          </w:tcPr>
          <w:p w14:paraId="1DDA21EB">
            <w:r>
              <w:rPr>
                <w:b/>
                <w:bCs/>
                <w:sz w:val="20"/>
                <w:szCs w:val="20"/>
              </w:rPr>
              <w:t>Tindak lanjut</w:t>
            </w:r>
          </w:p>
        </w:tc>
        <w:tc>
          <w:tcPr>
            <w:tcW w:w="6826" w:type="dxa"/>
            <w:tcBorders>
              <w:top w:val="single" w:color="8FA3B8" w:sz="4" w:space="0"/>
              <w:left w:val="single" w:color="8FA3B8" w:sz="4" w:space="0"/>
              <w:bottom w:val="single" w:color="8FA3B8" w:sz="4" w:space="0"/>
              <w:right w:val="single" w:color="8FA3B8" w:sz="4" w:space="0"/>
            </w:tcBorders>
            <w:tcMar>
              <w:top w:w="70" w:type="dxa"/>
              <w:left w:w="90" w:type="dxa"/>
              <w:bottom w:w="70" w:type="dxa"/>
              <w:right w:w="90" w:type="dxa"/>
            </w:tcMar>
            <w:vAlign w:val="center"/>
          </w:tcPr>
          <w:p w14:paraId="5453E7C5">
            <w:r>
              <w:rPr>
                <w:sz w:val="20"/>
                <w:szCs w:val="20"/>
              </w:rPr>
              <w:t>Mengonfirmasi kepada tim operasional/master data apakah B099 merupakan cabang baru yang belum didaftarkan di sistem master, atau kesalahan kode yang dimasukkan kasir. Dim_Branch diperbarui apabila B099 terbukti cabang baru.</w:t>
            </w:r>
          </w:p>
        </w:tc>
      </w:tr>
    </w:tbl>
    <w:p w14:paraId="4781615D">
      <w:pPr>
        <w:keepNext/>
        <w:spacing w:before="280" w:after="160"/>
      </w:pPr>
      <w:r>
        <w:rPr>
          <w:b/>
          <w:bCs/>
        </w:rPr>
        <w:t>REFLEKSI</w:t>
      </w:r>
    </w:p>
    <w:p w14:paraId="4980FAA3">
      <w:pPr>
        <w:spacing w:after="160" w:line="360" w:lineRule="auto"/>
        <w:jc w:val="both"/>
      </w:pPr>
      <w:r>
        <w:rPr>
          <w:b/>
          <w:bCs/>
        </w:rPr>
        <w:t>Refleksi 1: Mengapa transaksi dengan Branch_ID yang terisi tetap dapat dianggap bermasalah dari sisi kualitas data?</w:t>
      </w:r>
    </w:p>
    <w:p w14:paraId="741C0E7C">
      <w:pPr>
        <w:spacing w:after="60"/>
        <w:jc w:val="both"/>
      </w:pPr>
      <w:r>
        <w:t>Jawaban:</w:t>
      </w:r>
    </w:p>
    <w:p w14:paraId="7364B1FD">
      <w:pPr>
        <w:spacing w:after="160" w:line="360" w:lineRule="auto"/>
        <w:jc w:val="both"/>
      </w:pPr>
      <w:r>
        <w:t>Walaupun kolom Branch_ID tidak kosong, nilainya (misalnya B099) tidak memiliki padanan yang sah di tabel master Dim_Branch, yang secara resmi hanya memuat B001–B006. Dalam konsep basis data, kondisi ini disebut pelanggaran integritas referensial.</w:t>
      </w:r>
    </w:p>
    <w:p w14:paraId="790D3C5B">
      <w:pPr>
        <w:spacing w:after="160" w:line="360" w:lineRule="auto"/>
        <w:jc w:val="both"/>
      </w:pPr>
      <w:r>
        <w:t>Kualitas data tidak cukup dinilai dari ada tidaknya isi kolom; nilai tersebut juga harus valid terhadap master data. Karena B099 tidak terdaftar di master cabang, transaksinya tidak dapat diatribusikan ke cabang yang sah. Akibatnya, data ini tidak dapat dipakai untuk drill-down wilayah, perbandingan target terhadap realisasi per cabang, maupun pemetaan keluhan operasional, sehingga tetap tergolong bermasalah.</w:t>
      </w:r>
    </w:p>
    <w:p w14:paraId="0BD15C3C">
      <w:pPr>
        <w:spacing w:after="160" w:line="360" w:lineRule="auto"/>
        <w:jc w:val="both"/>
      </w:pPr>
      <w:r>
        <w:rPr>
          <w:b/>
          <w:bCs/>
        </w:rPr>
        <w:t>Refleksi 2: Apa risiko analitis bila Fact_Operations (grain bulanan-cabang) digabung langsung ke Fact_Sales (grain transaksi)?</w:t>
      </w:r>
    </w:p>
    <w:p w14:paraId="79CC0FEF">
      <w:pPr>
        <w:spacing w:after="60"/>
        <w:jc w:val="both"/>
      </w:pPr>
      <w:r>
        <w:t>Jawaban:</w:t>
      </w:r>
    </w:p>
    <w:p w14:paraId="248C2F20">
      <w:pPr>
        <w:spacing w:after="160" w:line="360" w:lineRule="auto"/>
        <w:jc w:val="both"/>
      </w:pPr>
      <w:r>
        <w:t>Risiko utamanya ialah duplikasi baris (fan-out) yang membuat KPI menjadi menggelembung dan menyesatkan.</w:t>
      </w:r>
    </w:p>
    <w:p w14:paraId="30F8964C">
      <w:pPr>
        <w:spacing w:after="160" w:line="360" w:lineRule="auto"/>
        <w:jc w:val="both"/>
      </w:pPr>
      <w:r>
        <w:t>Fact_Operations berisi agregat per cabang per bulan (satu baris untuk satu cabang dalam satu bulan), sedangkan Fact_Sales berisi rincian per transaksi (satu cabang pada satu bulan bisa memiliki ratusan baris). Jika penggabungan dilakukan langsung hanya melalui Branch_ID, nilai metrik operasional seperti Avg_Fulfillment_Hours atau Complaint_Count akan tergandakan sebanyak jumlah transaksi pada bulan itu. Total maupun rata-rata yang dihitung menjadi keliru (terinflasi), dan hal ini berbahaya apabila dijadikan dasar keputusan manajer.</w:t>
      </w:r>
    </w:p>
    <w:p w14:paraId="4BAAB9E0">
      <w:pPr>
        <w:spacing w:after="160" w:line="360" w:lineRule="auto"/>
        <w:jc w:val="both"/>
      </w:pPr>
      <w:r>
        <w:rPr>
          <w:b/>
          <w:bCs/>
        </w:rPr>
        <w:t>Refleksi 3: Kapan Unknown/Unmapped Branch lebih tepat daripada exclude, dan kapan exclude lebih dapat dipertanggungjawabkan?</w:t>
      </w:r>
    </w:p>
    <w:p w14:paraId="6FA99F2A">
      <w:pPr>
        <w:spacing w:after="60"/>
        <w:jc w:val="both"/>
      </w:pPr>
      <w:r>
        <w:t>Jawaban:</w:t>
      </w:r>
    </w:p>
    <w:p w14:paraId="594BF176">
      <w:pPr>
        <w:spacing w:after="160" w:line="360" w:lineRule="auto"/>
        <w:jc w:val="both"/>
      </w:pPr>
      <w:r>
        <w:t>Unknown/Unmapped Branch lebih tepat ketika transaksi diyakini sah secara bisnis (memiliki Transaction_ID, produk, dan nilai revenue yang valid), tetapi master data cabang belum diperbarui, misalnya karena cabang baru belum dimasukkan ke sistem master. Pilihan ini menjaga total revenue perusahaan tetap utuh, tidak ada data yang hilang, dan jejak audit tetap dapat ditelusuri untuk klarifikasi nanti.</w:t>
      </w:r>
    </w:p>
    <w:p w14:paraId="517B2896">
      <w:pPr>
        <w:spacing w:after="160" w:line="360" w:lineRule="auto"/>
        <w:jc w:val="both"/>
      </w:pPr>
      <w:r>
        <w:t>Exclude (dari analisis cabang) lebih dapat dipertanggungjawabkan jika tujuan analisisnya adalah membandingkan kinerja atau menyusun peringkat antarcabang resmi secara adil, sebab memasukkan kategori "Unknown" ke dalam peringkat akan mengganggu perbandingan. Exclude juga dipilih bila data tersebut kuat diduga sebagai kesalahan input sistem atau data uji (dummy) yang sama sekali tidak boleh masuk ke perhitungan metrik bisnis.</w:t>
      </w: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6437"/>
    <w:rsid w:val="003D32B8"/>
    <w:rsid w:val="00B86437"/>
    <w:rsid w:val="075D3D85"/>
    <w:rsid w:val="7F13078A"/>
  </w:rsids>
  <m:mathPr>
    <m:mathFont m:val="Cambria Math"/>
    <m:brkBin m:val="before"/>
    <m:brkBinSub m:val="--"/>
    <m:smallFrac m:val="0"/>
    <m:dispDef/>
    <m:lMargin m:val="0"/>
    <m:rMargin m:val="0"/>
    <m:defJc m:val="centerGroup"/>
    <m:wrapIndent m:val="1440"/>
    <m:intLim m:val="subSup"/>
    <m:naryLim m:val="undOvr"/>
  </m:mathPr>
  <w:themeFontLang w:val="zh-CN" w:eastAsia="zh-CN" w:bidi="ar-SA"/>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zh-CN" w:eastAsia="zh-CN" w:bidi="ar-SA"/>
    </w:rPr>
  </w:style>
  <w:style w:type="paragraph" w:styleId="2">
    <w:name w:val="heading 1"/>
    <w:qFormat/>
    <w:uiPriority w:val="9"/>
    <w:pPr>
      <w:outlineLvl w:val="0"/>
    </w:pPr>
    <w:rPr>
      <w:rFonts w:ascii="Times New Roman" w:hAnsi="Times New Roman" w:eastAsia="Times New Roman" w:cs="Times New Roman"/>
      <w:color w:val="2E74B5"/>
      <w:sz w:val="32"/>
      <w:szCs w:val="32"/>
      <w:lang w:val="zh-CN" w:eastAsia="zh-CN" w:bidi="ar-SA"/>
    </w:rPr>
  </w:style>
  <w:style w:type="paragraph" w:styleId="3">
    <w:name w:val="heading 2"/>
    <w:semiHidden/>
    <w:unhideWhenUsed/>
    <w:qFormat/>
    <w:uiPriority w:val="9"/>
    <w:pPr>
      <w:outlineLvl w:val="1"/>
    </w:pPr>
    <w:rPr>
      <w:rFonts w:ascii="Times New Roman" w:hAnsi="Times New Roman" w:eastAsia="Times New Roman" w:cs="Times New Roman"/>
      <w:color w:val="2E74B5"/>
      <w:sz w:val="26"/>
      <w:szCs w:val="26"/>
      <w:lang w:val="zh-CN" w:eastAsia="zh-CN" w:bidi="ar-SA"/>
    </w:rPr>
  </w:style>
  <w:style w:type="paragraph" w:styleId="4">
    <w:name w:val="heading 3"/>
    <w:semiHidden/>
    <w:unhideWhenUsed/>
    <w:qFormat/>
    <w:uiPriority w:val="9"/>
    <w:pPr>
      <w:outlineLvl w:val="2"/>
    </w:pPr>
    <w:rPr>
      <w:rFonts w:ascii="Times New Roman" w:hAnsi="Times New Roman" w:eastAsia="Times New Roman" w:cs="Times New Roman"/>
      <w:color w:val="1F4D78"/>
      <w:sz w:val="24"/>
      <w:szCs w:val="24"/>
      <w:lang w:val="zh-CN" w:eastAsia="zh-CN" w:bidi="ar-SA"/>
    </w:rPr>
  </w:style>
  <w:style w:type="paragraph" w:styleId="5">
    <w:name w:val="heading 4"/>
    <w:semiHidden/>
    <w:unhideWhenUsed/>
    <w:qFormat/>
    <w:uiPriority w:val="9"/>
    <w:pPr>
      <w:outlineLvl w:val="3"/>
    </w:pPr>
    <w:rPr>
      <w:rFonts w:ascii="Times New Roman" w:hAnsi="Times New Roman" w:eastAsia="Times New Roman" w:cs="Times New Roman"/>
      <w:i/>
      <w:iCs/>
      <w:color w:val="2E74B5"/>
      <w:sz w:val="24"/>
      <w:szCs w:val="24"/>
      <w:lang w:val="zh-CN" w:eastAsia="zh-CN" w:bidi="ar-SA"/>
    </w:rPr>
  </w:style>
  <w:style w:type="paragraph" w:styleId="6">
    <w:name w:val="heading 5"/>
    <w:semiHidden/>
    <w:unhideWhenUsed/>
    <w:qFormat/>
    <w:uiPriority w:val="9"/>
    <w:pPr>
      <w:outlineLvl w:val="4"/>
    </w:pPr>
    <w:rPr>
      <w:rFonts w:ascii="Times New Roman" w:hAnsi="Times New Roman" w:eastAsia="Times New Roman" w:cs="Times New Roman"/>
      <w:color w:val="2E74B5"/>
      <w:sz w:val="24"/>
      <w:szCs w:val="24"/>
      <w:lang w:val="zh-CN" w:eastAsia="zh-CN" w:bidi="ar-SA"/>
    </w:rPr>
  </w:style>
  <w:style w:type="paragraph" w:styleId="7">
    <w:name w:val="heading 6"/>
    <w:semiHidden/>
    <w:unhideWhenUsed/>
    <w:qFormat/>
    <w:uiPriority w:val="9"/>
    <w:pPr>
      <w:outlineLvl w:val="5"/>
    </w:pPr>
    <w:rPr>
      <w:rFonts w:ascii="Times New Roman" w:hAnsi="Times New Roman" w:eastAsia="Times New Roman" w:cs="Times New Roman"/>
      <w:color w:val="1F4D78"/>
      <w:sz w:val="24"/>
      <w:szCs w:val="24"/>
      <w:lang w:val="zh-CN" w:eastAsia="zh-CN" w:bidi="ar-SA"/>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9"/>
    <w:semiHidden/>
    <w:unhideWhenUsed/>
    <w:qFormat/>
    <w:uiPriority w:val="99"/>
    <w:rPr>
      <w:rFonts w:ascii="Times New Roman" w:hAnsi="Times New Roman" w:eastAsia="Times New Roman" w:cs="Times New Roman"/>
      <w:sz w:val="20"/>
      <w:szCs w:val="20"/>
      <w:lang w:val="zh-CN" w:eastAsia="zh-CN" w:bidi="ar-SA"/>
    </w:rPr>
  </w:style>
  <w:style w:type="character" w:styleId="12">
    <w:name w:val="footnote reference"/>
    <w:semiHidden/>
    <w:unhideWhenUsed/>
    <w:qFormat/>
    <w:uiPriority w:val="99"/>
    <w:rPr>
      <w:vertAlign w:val="superscript"/>
    </w:rPr>
  </w:style>
  <w:style w:type="paragraph" w:styleId="13">
    <w:name w:val="footnote text"/>
    <w:link w:val="18"/>
    <w:semiHidden/>
    <w:unhideWhenUsed/>
    <w:qFormat/>
    <w:uiPriority w:val="99"/>
    <w:rPr>
      <w:rFonts w:ascii="Times New Roman" w:hAnsi="Times New Roman" w:eastAsia="Times New Roman" w:cs="Times New Roman"/>
      <w:sz w:val="20"/>
      <w:szCs w:val="20"/>
      <w:lang w:val="zh-CN" w:eastAsia="zh-CN" w:bidi="ar-SA"/>
    </w:rPr>
  </w:style>
  <w:style w:type="character" w:styleId="14">
    <w:name w:val="Hyperlink"/>
    <w:unhideWhenUsed/>
    <w:qFormat/>
    <w:uiPriority w:val="99"/>
    <w:rPr>
      <w:color w:val="0563C1"/>
      <w:u w:val="single"/>
    </w:rPr>
  </w:style>
  <w:style w:type="paragraph" w:styleId="15">
    <w:name w:val="Title"/>
    <w:qFormat/>
    <w:uiPriority w:val="10"/>
    <w:rPr>
      <w:rFonts w:ascii="Times New Roman" w:hAnsi="Times New Roman" w:eastAsia="Times New Roman" w:cs="Times New Roman"/>
      <w:sz w:val="56"/>
      <w:szCs w:val="56"/>
      <w:lang w:val="zh-CN" w:eastAsia="zh-CN" w:bidi="ar-SA"/>
    </w:rPr>
  </w:style>
  <w:style w:type="paragraph" w:customStyle="1" w:styleId="16">
    <w:name w:val="Strong1"/>
    <w:qFormat/>
    <w:uiPriority w:val="0"/>
    <w:rPr>
      <w:rFonts w:ascii="Times New Roman" w:hAnsi="Times New Roman" w:eastAsia="Times New Roman" w:cs="Times New Roman"/>
      <w:b/>
      <w:bCs/>
      <w:sz w:val="24"/>
      <w:szCs w:val="24"/>
      <w:lang w:val="zh-CN" w:eastAsia="zh-CN" w:bidi="ar-SA"/>
    </w:rPr>
  </w:style>
  <w:style w:type="paragraph" w:styleId="17">
    <w:name w:val="List Paragraph"/>
    <w:qFormat/>
    <w:uiPriority w:val="0"/>
    <w:rPr>
      <w:rFonts w:ascii="Times New Roman" w:hAnsi="Times New Roman" w:eastAsia="Times New Roman" w:cs="Times New Roman"/>
      <w:sz w:val="24"/>
      <w:szCs w:val="24"/>
      <w:lang w:val="zh-CN" w:eastAsia="zh-CN" w:bidi="ar-SA"/>
    </w:rPr>
  </w:style>
  <w:style w:type="character" w:customStyle="1" w:styleId="18">
    <w:name w:val="Footnote Text Char"/>
    <w:link w:val="13"/>
    <w:semiHidden/>
    <w:unhideWhenUsed/>
    <w:qFormat/>
    <w:uiPriority w:val="99"/>
    <w:rPr>
      <w:sz w:val="20"/>
      <w:szCs w:val="20"/>
    </w:rPr>
  </w:style>
  <w:style w:type="character" w:customStyle="1" w:styleId="19">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1002</Words>
  <Characters>6902</Characters>
  <Lines>56</Lines>
  <Paragraphs>15</Paragraphs>
  <TotalTime>3</TotalTime>
  <ScaleCrop>false</ScaleCrop>
  <LinksUpToDate>false</LinksUpToDate>
  <CharactersWithSpaces>7808</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2026-10-20T07:16:00Z</dcterms:created>
  <dc:creator>Un-named</dc:creator>
  <cp:lastModifiedBy>alfin</cp:lastModifiedBy>
  <dcterms:modified xsi:type="dcterms:W3CDTF">2026-10-25T10:17:15Z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eyJoZGlkIjoiNjdiOTAzZGQwZjg1MTY2NTI3OTM2Y2U2MTY5YmUyOTUifQ==</vt:lpwstr>
  </property>
  <property fmtid="{D5CDD505-2E9C-101B-9397-08002B2CF9AE}" pid="3" name="KSOProductBuildVer">
    <vt:lpwstr>1057-12.1.0.29162</vt:lpwstr>
  </property>
  <property fmtid="{D5CDD505-2E9C-101B-9397-08002B2CF9AE}" pid="4" name="ICV">
    <vt:lpwstr>316504FFE19D4BAABC30F2CA15DAD0C3_12</vt:lpwstr>
  </property>
</Properties>
</file>