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C5D" w:rsidRDefault="00F80C5D" w:rsidP="00F80C5D">
      <w:pPr>
        <w:jc w:val="right"/>
        <w:rPr>
          <w:rFonts w:ascii="Arial" w:hAnsi="Arial" w:cs="Arial"/>
          <w:sz w:val="22"/>
          <w:szCs w:val="22"/>
          <w:lang w:val="es-ES_tradnl"/>
        </w:rPr>
      </w:pPr>
    </w:p>
    <w:p w:rsidR="00F80C5D" w:rsidRPr="004521FD" w:rsidRDefault="00F80C5D" w:rsidP="00F80C5D">
      <w:pPr>
        <w:jc w:val="right"/>
        <w:rPr>
          <w:rFonts w:ascii="Tahoma" w:hAnsi="Tahoma" w:cs="Tahoma"/>
          <w:b/>
        </w:rPr>
      </w:pPr>
    </w:p>
    <w:p w:rsidR="00F80C5D" w:rsidRPr="004521FD" w:rsidRDefault="00F80C5D" w:rsidP="00F80C5D">
      <w:pPr>
        <w:jc w:val="right"/>
        <w:rPr>
          <w:rFonts w:ascii="Tahoma" w:hAnsi="Tahoma" w:cs="Tahoma"/>
          <w:b/>
          <w:sz w:val="20"/>
          <w:szCs w:val="20"/>
        </w:rPr>
      </w:pPr>
      <w:r>
        <w:rPr>
          <w:rFonts w:ascii="Tahoma" w:hAnsi="Tahoma" w:cs="Tahoma"/>
          <w:b/>
          <w:sz w:val="20"/>
          <w:szCs w:val="20"/>
        </w:rPr>
        <w:t>México D.F., 27</w:t>
      </w:r>
      <w:r w:rsidRPr="004521FD">
        <w:rPr>
          <w:rFonts w:ascii="Tahoma" w:hAnsi="Tahoma" w:cs="Tahoma"/>
          <w:b/>
          <w:sz w:val="20"/>
          <w:szCs w:val="20"/>
        </w:rPr>
        <w:t xml:space="preserve"> de </w:t>
      </w:r>
      <w:r>
        <w:rPr>
          <w:rFonts w:ascii="Tahoma" w:hAnsi="Tahoma" w:cs="Tahoma"/>
          <w:b/>
          <w:sz w:val="20"/>
          <w:szCs w:val="20"/>
        </w:rPr>
        <w:t>enero</w:t>
      </w:r>
      <w:r w:rsidRPr="004521FD">
        <w:rPr>
          <w:rFonts w:ascii="Tahoma" w:hAnsi="Tahoma" w:cs="Tahoma"/>
          <w:b/>
          <w:sz w:val="20"/>
          <w:szCs w:val="20"/>
        </w:rPr>
        <w:t xml:space="preserve"> del</w:t>
      </w:r>
      <w:r>
        <w:rPr>
          <w:rFonts w:ascii="Tahoma" w:hAnsi="Tahoma" w:cs="Tahoma"/>
          <w:b/>
          <w:sz w:val="20"/>
          <w:szCs w:val="20"/>
        </w:rPr>
        <w:t xml:space="preserve"> 2015</w:t>
      </w:r>
    </w:p>
    <w:p w:rsidR="00F80C5D" w:rsidRPr="004521FD" w:rsidRDefault="00695A60" w:rsidP="00F80C5D">
      <w:pPr>
        <w:jc w:val="right"/>
        <w:rPr>
          <w:rFonts w:ascii="Tahoma" w:hAnsi="Tahoma" w:cs="Tahoma"/>
          <w:b/>
          <w:sz w:val="20"/>
          <w:szCs w:val="20"/>
        </w:rPr>
      </w:pPr>
      <w:r>
        <w:rPr>
          <w:rFonts w:ascii="Tahoma" w:hAnsi="Tahoma" w:cs="Tahoma"/>
          <w:b/>
          <w:sz w:val="20"/>
          <w:szCs w:val="20"/>
        </w:rPr>
        <w:t>DTI</w:t>
      </w:r>
      <w:r w:rsidR="00F80C5D" w:rsidRPr="004521FD">
        <w:rPr>
          <w:rFonts w:ascii="Tahoma" w:hAnsi="Tahoma" w:cs="Tahoma"/>
          <w:b/>
          <w:sz w:val="20"/>
          <w:szCs w:val="20"/>
        </w:rPr>
        <w:t>/</w:t>
      </w:r>
      <w:r w:rsidR="00F80C5D">
        <w:rPr>
          <w:rFonts w:ascii="Tahoma" w:hAnsi="Tahoma" w:cs="Tahoma"/>
          <w:b/>
          <w:sz w:val="20"/>
          <w:szCs w:val="20"/>
        </w:rPr>
        <w:t>01</w:t>
      </w:r>
      <w:r>
        <w:rPr>
          <w:rFonts w:ascii="Tahoma" w:hAnsi="Tahoma" w:cs="Tahoma"/>
          <w:b/>
          <w:sz w:val="20"/>
          <w:szCs w:val="20"/>
        </w:rPr>
        <w:t>6/</w:t>
      </w:r>
      <w:r w:rsidR="00F80C5D">
        <w:rPr>
          <w:rFonts w:ascii="Tahoma" w:hAnsi="Tahoma" w:cs="Tahoma"/>
          <w:b/>
          <w:sz w:val="20"/>
          <w:szCs w:val="20"/>
        </w:rPr>
        <w:t>2015</w:t>
      </w:r>
    </w:p>
    <w:p w:rsidR="00F80C5D" w:rsidRPr="004521FD" w:rsidRDefault="00F80C5D" w:rsidP="00F80C5D">
      <w:pPr>
        <w:jc w:val="right"/>
        <w:rPr>
          <w:rFonts w:ascii="Tahoma" w:hAnsi="Tahoma" w:cs="Tahoma"/>
          <w:b/>
          <w:sz w:val="20"/>
          <w:szCs w:val="20"/>
        </w:rPr>
      </w:pPr>
    </w:p>
    <w:p w:rsidR="00F80C5D" w:rsidRPr="004521FD" w:rsidRDefault="00F80C5D" w:rsidP="00F80C5D">
      <w:pPr>
        <w:jc w:val="right"/>
        <w:rPr>
          <w:rFonts w:ascii="Tahoma" w:hAnsi="Tahoma" w:cs="Tahoma"/>
          <w:b/>
          <w:sz w:val="20"/>
          <w:szCs w:val="20"/>
        </w:rPr>
      </w:pPr>
    </w:p>
    <w:p w:rsidR="00F80C5D" w:rsidRPr="004521FD" w:rsidRDefault="00F80C5D" w:rsidP="00F80C5D">
      <w:pPr>
        <w:jc w:val="right"/>
        <w:rPr>
          <w:rFonts w:ascii="Tahoma" w:hAnsi="Tahoma" w:cs="Tahoma"/>
          <w:b/>
          <w:sz w:val="20"/>
          <w:szCs w:val="20"/>
        </w:rPr>
      </w:pPr>
    </w:p>
    <w:p w:rsidR="00F80C5D" w:rsidRPr="00903A96" w:rsidRDefault="00F80C5D" w:rsidP="00F80C5D">
      <w:pPr>
        <w:jc w:val="center"/>
        <w:rPr>
          <w:rFonts w:ascii="Tahoma" w:hAnsi="Tahoma" w:cs="Tahoma"/>
          <w:b/>
          <w:sz w:val="22"/>
          <w:szCs w:val="22"/>
        </w:rPr>
      </w:pPr>
      <w:r>
        <w:rPr>
          <w:rFonts w:ascii="Tahoma" w:hAnsi="Tahoma" w:cs="Tahoma"/>
          <w:b/>
          <w:sz w:val="22"/>
          <w:szCs w:val="22"/>
        </w:rPr>
        <w:t>“2015</w:t>
      </w:r>
      <w:r w:rsidRPr="00903A96">
        <w:rPr>
          <w:rFonts w:ascii="Tahoma" w:hAnsi="Tahoma" w:cs="Tahoma"/>
          <w:b/>
          <w:sz w:val="22"/>
          <w:szCs w:val="22"/>
        </w:rPr>
        <w:t>, Año de</w:t>
      </w:r>
      <w:r>
        <w:rPr>
          <w:rFonts w:ascii="Tahoma" w:hAnsi="Tahoma" w:cs="Tahoma"/>
          <w:b/>
          <w:sz w:val="22"/>
          <w:szCs w:val="22"/>
        </w:rPr>
        <w:t>l Generalísimo José María Morelos y Pavón”</w:t>
      </w:r>
    </w:p>
    <w:p w:rsidR="00F80C5D" w:rsidRPr="00593E10" w:rsidRDefault="00F80C5D" w:rsidP="00F80C5D">
      <w:pPr>
        <w:jc w:val="right"/>
        <w:rPr>
          <w:rFonts w:ascii="Tahoma" w:eastAsia="Calibri" w:hAnsi="Tahoma" w:cs="Tahoma"/>
          <w:sz w:val="20"/>
          <w:szCs w:val="20"/>
          <w:lang w:eastAsia="en-US"/>
        </w:rPr>
      </w:pPr>
    </w:p>
    <w:p w:rsidR="00F80C5D" w:rsidRPr="004521FD" w:rsidRDefault="00F80C5D" w:rsidP="00F80C5D">
      <w:pPr>
        <w:jc w:val="right"/>
        <w:rPr>
          <w:rFonts w:ascii="Tahoma" w:hAnsi="Tahoma" w:cs="Tahoma"/>
          <w:sz w:val="20"/>
          <w:szCs w:val="20"/>
        </w:rPr>
      </w:pPr>
    </w:p>
    <w:p w:rsidR="00F80C5D" w:rsidRPr="004521FD" w:rsidRDefault="00F80C5D" w:rsidP="00F80C5D">
      <w:pPr>
        <w:jc w:val="right"/>
        <w:rPr>
          <w:rFonts w:ascii="Tahoma" w:hAnsi="Tahoma" w:cs="Tahoma"/>
          <w:sz w:val="20"/>
          <w:szCs w:val="20"/>
        </w:rPr>
      </w:pPr>
    </w:p>
    <w:p w:rsidR="00F80C5D" w:rsidRPr="004521FD" w:rsidRDefault="00F80C5D" w:rsidP="00F80C5D">
      <w:pPr>
        <w:jc w:val="right"/>
        <w:rPr>
          <w:rFonts w:ascii="Tahoma" w:hAnsi="Tahoma" w:cs="Tahoma"/>
          <w:sz w:val="20"/>
          <w:szCs w:val="20"/>
        </w:rPr>
      </w:pPr>
    </w:p>
    <w:p w:rsidR="00F80C5D" w:rsidRPr="004521FD" w:rsidRDefault="00F80C5D" w:rsidP="00F80C5D">
      <w:pPr>
        <w:jc w:val="right"/>
        <w:rPr>
          <w:rFonts w:ascii="Tahoma" w:hAnsi="Tahoma" w:cs="Tahoma"/>
          <w:b/>
          <w:sz w:val="20"/>
          <w:szCs w:val="20"/>
        </w:rPr>
      </w:pPr>
    </w:p>
    <w:p w:rsidR="00F80C5D" w:rsidRDefault="00F80C5D" w:rsidP="00F80C5D">
      <w:pPr>
        <w:jc w:val="both"/>
        <w:rPr>
          <w:rFonts w:ascii="Tahoma" w:hAnsi="Tahoma" w:cs="Tahoma"/>
          <w:b/>
          <w:sz w:val="20"/>
          <w:szCs w:val="20"/>
        </w:rPr>
      </w:pPr>
      <w:r>
        <w:rPr>
          <w:rFonts w:ascii="Tahoma" w:hAnsi="Tahoma" w:cs="Tahoma"/>
          <w:b/>
          <w:sz w:val="20"/>
          <w:szCs w:val="20"/>
        </w:rPr>
        <w:t>L.C.P Lina Riquelme Martínez</w:t>
      </w:r>
    </w:p>
    <w:p w:rsidR="00F80C5D" w:rsidRPr="004521FD" w:rsidRDefault="00F80C5D" w:rsidP="00F80C5D">
      <w:pPr>
        <w:jc w:val="both"/>
        <w:rPr>
          <w:rFonts w:ascii="Tahoma" w:hAnsi="Tahoma" w:cs="Tahoma"/>
          <w:b/>
          <w:sz w:val="20"/>
          <w:szCs w:val="20"/>
        </w:rPr>
      </w:pPr>
      <w:r w:rsidRPr="004521FD">
        <w:rPr>
          <w:rFonts w:ascii="Tahoma" w:hAnsi="Tahoma" w:cs="Tahoma"/>
          <w:b/>
          <w:sz w:val="20"/>
          <w:szCs w:val="20"/>
        </w:rPr>
        <w:t xml:space="preserve">DIRECTORA DE </w:t>
      </w:r>
      <w:r>
        <w:rPr>
          <w:rFonts w:ascii="Tahoma" w:hAnsi="Tahoma" w:cs="Tahoma"/>
          <w:b/>
          <w:sz w:val="20"/>
          <w:szCs w:val="20"/>
        </w:rPr>
        <w:t>ADMINISTRACIÓN</w:t>
      </w:r>
    </w:p>
    <w:p w:rsidR="00F80C5D" w:rsidRPr="004521FD" w:rsidRDefault="00F80C5D" w:rsidP="00F80C5D">
      <w:pPr>
        <w:jc w:val="both"/>
        <w:rPr>
          <w:rFonts w:ascii="Tahoma" w:hAnsi="Tahoma" w:cs="Tahoma"/>
          <w:sz w:val="20"/>
          <w:szCs w:val="20"/>
        </w:rPr>
      </w:pPr>
    </w:p>
    <w:p w:rsidR="00F80C5D" w:rsidRPr="004521FD" w:rsidRDefault="00F80C5D" w:rsidP="00F80C5D">
      <w:pPr>
        <w:jc w:val="both"/>
        <w:rPr>
          <w:rFonts w:ascii="Tahoma" w:hAnsi="Tahoma" w:cs="Tahoma"/>
          <w:sz w:val="20"/>
          <w:szCs w:val="20"/>
        </w:rPr>
      </w:pPr>
    </w:p>
    <w:p w:rsidR="00F80C5D" w:rsidRDefault="00F80C5D" w:rsidP="00F80C5D">
      <w:pPr>
        <w:spacing w:line="0" w:lineRule="atLeast"/>
        <w:contextualSpacing/>
        <w:jc w:val="both"/>
        <w:rPr>
          <w:rFonts w:ascii="Tahoma" w:hAnsi="Tahoma" w:cs="Tahoma"/>
          <w:sz w:val="20"/>
          <w:szCs w:val="20"/>
        </w:rPr>
      </w:pPr>
      <w:r w:rsidRPr="00CF5498">
        <w:rPr>
          <w:rFonts w:ascii="Tahoma" w:hAnsi="Tahoma" w:cs="Tahoma"/>
          <w:sz w:val="20"/>
          <w:szCs w:val="20"/>
        </w:rPr>
        <w:t xml:space="preserve">Por este conducto, </w:t>
      </w:r>
      <w:r>
        <w:rPr>
          <w:rFonts w:ascii="Tahoma" w:hAnsi="Tahoma" w:cs="Tahoma"/>
          <w:sz w:val="20"/>
          <w:szCs w:val="20"/>
        </w:rPr>
        <w:t>les muestro los requerimientos para el Sistema SIGAF del año en curso.</w:t>
      </w:r>
    </w:p>
    <w:p w:rsidR="00F80C5D" w:rsidRDefault="00F80C5D" w:rsidP="00F80C5D">
      <w:pPr>
        <w:spacing w:line="0" w:lineRule="atLeast"/>
        <w:contextualSpacing/>
        <w:jc w:val="both"/>
        <w:rPr>
          <w:rFonts w:ascii="Arial" w:hAnsi="Arial" w:cs="Arial"/>
          <w:sz w:val="20"/>
          <w:szCs w:val="20"/>
          <w:lang w:val="es-MX"/>
        </w:rPr>
      </w:pPr>
    </w:p>
    <w:p w:rsidR="00F80C5D" w:rsidRDefault="00F80C5D" w:rsidP="00F80C5D">
      <w:pPr>
        <w:spacing w:line="0" w:lineRule="atLeast"/>
        <w:contextualSpacing/>
        <w:jc w:val="both"/>
        <w:rPr>
          <w:rFonts w:ascii="Arial" w:hAnsi="Arial" w:cs="Arial"/>
          <w:sz w:val="20"/>
          <w:szCs w:val="20"/>
          <w:lang w:val="es-MX"/>
        </w:rPr>
      </w:pPr>
      <w:r w:rsidRPr="006D018A">
        <w:rPr>
          <w:rFonts w:ascii="Arial" w:hAnsi="Arial" w:cs="Arial"/>
          <w:sz w:val="20"/>
          <w:szCs w:val="20"/>
          <w:lang w:val="es-MX"/>
        </w:rPr>
        <w:t>Subdirección de Contabilidad y Finanzas</w:t>
      </w:r>
      <w:r>
        <w:rPr>
          <w:rFonts w:ascii="Arial" w:hAnsi="Arial" w:cs="Arial"/>
          <w:sz w:val="20"/>
          <w:szCs w:val="20"/>
          <w:lang w:val="es-MX"/>
        </w:rPr>
        <w:t>:</w:t>
      </w:r>
    </w:p>
    <w:p w:rsidR="00F80C5D" w:rsidRDefault="00F80C5D" w:rsidP="00F80C5D">
      <w:pPr>
        <w:spacing w:line="0" w:lineRule="atLeast"/>
        <w:contextualSpacing/>
        <w:jc w:val="both"/>
        <w:rPr>
          <w:rFonts w:ascii="Arial" w:hAnsi="Arial" w:cs="Arial"/>
          <w:sz w:val="20"/>
          <w:szCs w:val="20"/>
          <w:lang w:val="es-MX"/>
        </w:rPr>
      </w:pPr>
    </w:p>
    <w:p w:rsidR="00F80C5D" w:rsidRDefault="00F80C5D" w:rsidP="00F80C5D">
      <w:pPr>
        <w:spacing w:line="0" w:lineRule="atLeast"/>
        <w:contextualSpacing/>
        <w:jc w:val="both"/>
        <w:rPr>
          <w:rFonts w:ascii="Arial" w:hAnsi="Arial" w:cs="Arial"/>
          <w:sz w:val="20"/>
          <w:szCs w:val="20"/>
          <w:lang w:val="es-MX"/>
        </w:rPr>
      </w:pPr>
      <w:r>
        <w:rPr>
          <w:rFonts w:ascii="Tahoma" w:hAnsi="Tahoma" w:cs="Tahoma"/>
          <w:sz w:val="20"/>
          <w:szCs w:val="20"/>
        </w:rPr>
        <w:tab/>
      </w:r>
      <w:r w:rsidRPr="00DE7ED9">
        <w:rPr>
          <w:rFonts w:ascii="Arial" w:hAnsi="Arial" w:cs="Arial"/>
          <w:sz w:val="20"/>
          <w:szCs w:val="20"/>
          <w:lang w:val="es-MX"/>
        </w:rPr>
        <w:t>Departamento de Contabilidad</w:t>
      </w:r>
      <w:r>
        <w:rPr>
          <w:rFonts w:ascii="Arial" w:hAnsi="Arial" w:cs="Arial"/>
          <w:sz w:val="20"/>
          <w:szCs w:val="20"/>
          <w:lang w:val="es-MX"/>
        </w:rPr>
        <w:t>:</w:t>
      </w:r>
    </w:p>
    <w:p w:rsidR="00F80C5D" w:rsidRDefault="00F80C5D" w:rsidP="00F80C5D">
      <w:pPr>
        <w:ind w:left="1410"/>
        <w:jc w:val="both"/>
        <w:rPr>
          <w:rFonts w:ascii="Arial" w:hAnsi="Arial" w:cs="Arial"/>
          <w:sz w:val="20"/>
          <w:szCs w:val="20"/>
          <w:lang w:val="es-MX"/>
        </w:rPr>
      </w:pPr>
      <w:r>
        <w:rPr>
          <w:rFonts w:ascii="Arial" w:hAnsi="Arial" w:cs="Arial"/>
          <w:sz w:val="20"/>
          <w:szCs w:val="20"/>
          <w:lang w:val="es-MX"/>
        </w:rPr>
        <w:t>-</w:t>
      </w:r>
      <w:r w:rsidRPr="008E7FB0">
        <w:rPr>
          <w:rFonts w:ascii="Arial" w:hAnsi="Arial" w:cs="Arial"/>
          <w:sz w:val="20"/>
          <w:szCs w:val="20"/>
          <w:lang w:val="es-MX"/>
        </w:rPr>
        <w:t>Constancia de Operaciones con Terceros y Declaración Informativa Múltiple de acuerdo a los nuevos lineamientos definidos por el SAT.</w:t>
      </w:r>
    </w:p>
    <w:p w:rsidR="00F80C5D" w:rsidRDefault="00F80C5D" w:rsidP="00F80C5D">
      <w:pPr>
        <w:jc w:val="both"/>
        <w:rPr>
          <w:rFonts w:ascii="Arial" w:hAnsi="Arial" w:cs="Arial"/>
          <w:sz w:val="20"/>
          <w:szCs w:val="20"/>
          <w:lang w:val="es-MX"/>
        </w:rPr>
      </w:pPr>
    </w:p>
    <w:p w:rsidR="00F80C5D" w:rsidRPr="008E7FB0" w:rsidRDefault="00F80C5D" w:rsidP="00F80C5D">
      <w:pPr>
        <w:ind w:left="702" w:firstLine="708"/>
        <w:jc w:val="both"/>
        <w:rPr>
          <w:rFonts w:ascii="Arial" w:hAnsi="Arial" w:cs="Arial"/>
          <w:sz w:val="20"/>
          <w:szCs w:val="20"/>
          <w:lang w:val="es-MX"/>
        </w:rPr>
      </w:pPr>
      <w:r w:rsidRPr="008E7FB0">
        <w:rPr>
          <w:rFonts w:ascii="Arial" w:hAnsi="Arial" w:cs="Arial"/>
          <w:sz w:val="20"/>
          <w:szCs w:val="20"/>
          <w:lang w:val="es-MX"/>
        </w:rPr>
        <w:t>Diversas mejoras a funcionalidad de Conciliaciones bancarias:</w:t>
      </w:r>
    </w:p>
    <w:p w:rsidR="00F80C5D" w:rsidRPr="008E7FB0" w:rsidRDefault="00F80C5D" w:rsidP="00F80C5D">
      <w:pPr>
        <w:ind w:left="702" w:firstLine="708"/>
        <w:jc w:val="both"/>
        <w:rPr>
          <w:rFonts w:ascii="Arial" w:hAnsi="Arial" w:cs="Arial"/>
          <w:sz w:val="20"/>
          <w:szCs w:val="20"/>
          <w:lang w:val="es-MX"/>
        </w:rPr>
      </w:pPr>
      <w:r w:rsidRPr="008E7FB0">
        <w:rPr>
          <w:rFonts w:ascii="Arial" w:hAnsi="Arial" w:cs="Arial"/>
          <w:sz w:val="20"/>
          <w:szCs w:val="20"/>
          <w:lang w:val="es-MX"/>
        </w:rPr>
        <w:t>- Posibilidad de conciliar detalle de póliza con otro detalle.</w:t>
      </w:r>
    </w:p>
    <w:p w:rsidR="00F80C5D" w:rsidRDefault="00F80C5D" w:rsidP="00F80C5D">
      <w:pPr>
        <w:ind w:left="1410"/>
        <w:jc w:val="both"/>
        <w:rPr>
          <w:rFonts w:ascii="Arial" w:hAnsi="Arial" w:cs="Arial"/>
          <w:sz w:val="20"/>
          <w:szCs w:val="20"/>
          <w:lang w:val="es-MX"/>
        </w:rPr>
      </w:pPr>
      <w:r w:rsidRPr="008E7FB0">
        <w:rPr>
          <w:rFonts w:ascii="Arial" w:hAnsi="Arial" w:cs="Arial"/>
          <w:sz w:val="20"/>
          <w:szCs w:val="20"/>
          <w:lang w:val="es-MX"/>
        </w:rPr>
        <w:t>- Posibilidad de marcar un detalle de póliza como conciliado (para una póliza individual como aquellos detalles que tienen más de 3 meses en conciliación)</w:t>
      </w:r>
      <w:r>
        <w:rPr>
          <w:rFonts w:ascii="Arial" w:hAnsi="Arial" w:cs="Arial"/>
          <w:sz w:val="20"/>
          <w:szCs w:val="20"/>
          <w:lang w:val="es-MX"/>
        </w:rPr>
        <w:t>.</w:t>
      </w:r>
    </w:p>
    <w:p w:rsidR="00F80C5D" w:rsidRPr="008E7FB0" w:rsidRDefault="00F80C5D" w:rsidP="00F80C5D">
      <w:pPr>
        <w:jc w:val="both"/>
        <w:rPr>
          <w:rFonts w:ascii="Arial" w:hAnsi="Arial" w:cs="Arial"/>
          <w:sz w:val="20"/>
          <w:szCs w:val="20"/>
          <w:lang w:val="es-MX"/>
        </w:rPr>
      </w:pPr>
    </w:p>
    <w:p w:rsidR="00F80C5D" w:rsidRDefault="00F80C5D" w:rsidP="00F80C5D">
      <w:pPr>
        <w:ind w:left="1410" w:firstLine="6"/>
        <w:jc w:val="both"/>
        <w:rPr>
          <w:rFonts w:ascii="Arial" w:hAnsi="Arial" w:cs="Arial"/>
          <w:sz w:val="20"/>
          <w:szCs w:val="20"/>
          <w:lang w:val="es-MX"/>
        </w:rPr>
      </w:pPr>
      <w:r>
        <w:rPr>
          <w:rFonts w:ascii="Arial" w:hAnsi="Arial" w:cs="Arial"/>
          <w:sz w:val="20"/>
          <w:szCs w:val="20"/>
          <w:lang w:val="es-MX"/>
        </w:rPr>
        <w:t>-</w:t>
      </w:r>
      <w:r w:rsidRPr="008E7FB0">
        <w:rPr>
          <w:rFonts w:ascii="Arial" w:hAnsi="Arial" w:cs="Arial"/>
          <w:sz w:val="20"/>
          <w:szCs w:val="20"/>
          <w:lang w:val="es-MX"/>
        </w:rPr>
        <w:t>Poder realizar conciliación independientemente de si el periodo contable está cerrado o abierto</w:t>
      </w:r>
      <w:r w:rsidR="008429D1">
        <w:rPr>
          <w:rFonts w:ascii="Arial" w:hAnsi="Arial" w:cs="Arial"/>
          <w:sz w:val="20"/>
          <w:szCs w:val="20"/>
          <w:lang w:val="es-MX"/>
        </w:rPr>
        <w:t>.</w:t>
      </w:r>
    </w:p>
    <w:p w:rsidR="008429D1" w:rsidRPr="008E7FB0" w:rsidRDefault="008429D1" w:rsidP="00F80C5D">
      <w:pPr>
        <w:ind w:left="1410" w:firstLine="6"/>
        <w:jc w:val="both"/>
        <w:rPr>
          <w:rFonts w:ascii="Arial" w:hAnsi="Arial" w:cs="Arial"/>
          <w:sz w:val="20"/>
          <w:szCs w:val="20"/>
          <w:lang w:val="es-MX"/>
        </w:rPr>
      </w:pPr>
    </w:p>
    <w:p w:rsidR="00F80C5D" w:rsidRDefault="00F80C5D" w:rsidP="00F80C5D">
      <w:pPr>
        <w:ind w:left="1410" w:firstLine="6"/>
        <w:jc w:val="both"/>
        <w:rPr>
          <w:rFonts w:ascii="Arial" w:hAnsi="Arial" w:cs="Arial"/>
          <w:sz w:val="20"/>
          <w:szCs w:val="20"/>
          <w:lang w:val="es-MX"/>
        </w:rPr>
      </w:pPr>
      <w:r>
        <w:rPr>
          <w:rFonts w:ascii="Arial" w:hAnsi="Arial" w:cs="Arial"/>
          <w:sz w:val="20"/>
          <w:szCs w:val="20"/>
          <w:lang w:val="es-MX"/>
        </w:rPr>
        <w:t>-</w:t>
      </w:r>
      <w:r w:rsidRPr="008E7FB0">
        <w:rPr>
          <w:rFonts w:ascii="Arial" w:hAnsi="Arial" w:cs="Arial"/>
          <w:sz w:val="20"/>
          <w:szCs w:val="20"/>
          <w:lang w:val="es-MX"/>
        </w:rPr>
        <w:t>Poder generar un reporte de cierre de conciliación bancaria que muestra el estatus en el que se quedan los movimientos y pólizas.</w:t>
      </w:r>
    </w:p>
    <w:p w:rsidR="00F80C5D" w:rsidRDefault="00F80C5D" w:rsidP="00F80C5D">
      <w:pPr>
        <w:jc w:val="both"/>
        <w:rPr>
          <w:rFonts w:ascii="Arial" w:hAnsi="Arial" w:cs="Arial"/>
          <w:sz w:val="20"/>
          <w:szCs w:val="20"/>
          <w:lang w:val="es-MX"/>
        </w:rPr>
      </w:pPr>
    </w:p>
    <w:p w:rsidR="00F80C5D" w:rsidRDefault="00F80C5D" w:rsidP="00F80C5D">
      <w:pPr>
        <w:ind w:left="1410"/>
        <w:jc w:val="both"/>
        <w:rPr>
          <w:rFonts w:ascii="Arial" w:hAnsi="Arial" w:cs="Arial"/>
          <w:sz w:val="20"/>
          <w:szCs w:val="20"/>
          <w:lang w:val="es-MX"/>
        </w:rPr>
      </w:pPr>
      <w:r>
        <w:rPr>
          <w:rFonts w:ascii="Arial" w:hAnsi="Arial" w:cs="Arial"/>
          <w:sz w:val="20"/>
          <w:szCs w:val="20"/>
          <w:lang w:val="es-MX"/>
        </w:rPr>
        <w:t>-</w:t>
      </w:r>
      <w:r w:rsidRPr="00DE7ED9">
        <w:rPr>
          <w:rFonts w:ascii="Arial" w:hAnsi="Arial" w:cs="Arial"/>
          <w:sz w:val="20"/>
          <w:szCs w:val="20"/>
          <w:lang w:val="es-MX"/>
        </w:rPr>
        <w:t>Depreciación de Activo Fijo conforme lo marca el CONAC.</w:t>
      </w:r>
    </w:p>
    <w:p w:rsidR="00F80C5D" w:rsidRDefault="00F80C5D" w:rsidP="00F80C5D">
      <w:pPr>
        <w:ind w:left="1410"/>
        <w:jc w:val="both"/>
        <w:rPr>
          <w:rFonts w:ascii="Arial" w:hAnsi="Arial" w:cs="Arial"/>
          <w:sz w:val="20"/>
          <w:szCs w:val="20"/>
          <w:lang w:val="es-MX"/>
        </w:rPr>
      </w:pPr>
    </w:p>
    <w:p w:rsidR="00F80C5D" w:rsidRDefault="00F80C5D" w:rsidP="00F80C5D">
      <w:pPr>
        <w:ind w:left="1410"/>
        <w:jc w:val="both"/>
        <w:rPr>
          <w:rFonts w:ascii="Arial" w:hAnsi="Arial" w:cs="Arial"/>
          <w:sz w:val="20"/>
          <w:szCs w:val="20"/>
          <w:lang w:val="es-MX"/>
        </w:rPr>
      </w:pPr>
      <w:r>
        <w:rPr>
          <w:rFonts w:ascii="Arial" w:hAnsi="Arial" w:cs="Arial"/>
          <w:sz w:val="20"/>
          <w:szCs w:val="20"/>
          <w:lang w:val="es-MX"/>
        </w:rPr>
        <w:t>-</w:t>
      </w:r>
      <w:r w:rsidRPr="00DE7ED9">
        <w:rPr>
          <w:rFonts w:ascii="Arial" w:hAnsi="Arial" w:cs="Arial"/>
          <w:sz w:val="20"/>
          <w:szCs w:val="20"/>
          <w:lang w:val="es-MX"/>
        </w:rPr>
        <w:t>Adecuaciones respecto a la armonización Contable de acuerdo a las instrucciones gubernamentales.</w:t>
      </w:r>
    </w:p>
    <w:p w:rsidR="00F80C5D" w:rsidRDefault="00F80C5D" w:rsidP="00F80C5D">
      <w:pPr>
        <w:ind w:left="1410"/>
        <w:jc w:val="both"/>
        <w:rPr>
          <w:rFonts w:ascii="Arial" w:hAnsi="Arial" w:cs="Arial"/>
          <w:sz w:val="20"/>
          <w:szCs w:val="20"/>
          <w:lang w:val="es-MX"/>
        </w:rPr>
      </w:pPr>
    </w:p>
    <w:p w:rsidR="00F80C5D" w:rsidRDefault="00F80C5D" w:rsidP="00F80C5D">
      <w:pPr>
        <w:ind w:left="1410"/>
        <w:jc w:val="both"/>
        <w:rPr>
          <w:rFonts w:ascii="Arial" w:hAnsi="Arial" w:cs="Arial"/>
          <w:sz w:val="20"/>
          <w:szCs w:val="20"/>
          <w:lang w:val="es-MX"/>
        </w:rPr>
      </w:pPr>
      <w:r>
        <w:rPr>
          <w:rFonts w:ascii="Arial" w:hAnsi="Arial" w:cs="Arial"/>
          <w:sz w:val="20"/>
          <w:szCs w:val="20"/>
          <w:lang w:val="es-MX"/>
        </w:rPr>
        <w:t>-</w:t>
      </w:r>
      <w:r w:rsidRPr="00DE7ED9">
        <w:rPr>
          <w:rFonts w:ascii="Arial" w:hAnsi="Arial" w:cs="Arial"/>
          <w:sz w:val="20"/>
          <w:szCs w:val="20"/>
          <w:lang w:val="es-MX"/>
        </w:rPr>
        <w:t>Incluir el manual de contabilidad gubernamental con lista de cuentas guía contabilizadora e instructivos de manejo de cuentas en el sistema SIGA-F.</w:t>
      </w:r>
    </w:p>
    <w:p w:rsidR="00F80C5D" w:rsidRDefault="00F80C5D" w:rsidP="00F80C5D">
      <w:pPr>
        <w:ind w:left="1410"/>
        <w:jc w:val="both"/>
        <w:rPr>
          <w:rFonts w:ascii="Arial" w:hAnsi="Arial" w:cs="Arial"/>
          <w:sz w:val="20"/>
          <w:szCs w:val="20"/>
          <w:lang w:val="es-MX"/>
        </w:rPr>
      </w:pPr>
    </w:p>
    <w:p w:rsidR="00F80C5D" w:rsidRDefault="00F80C5D" w:rsidP="00F80C5D">
      <w:pPr>
        <w:spacing w:line="0" w:lineRule="atLeast"/>
        <w:ind w:left="1410"/>
        <w:contextualSpacing/>
        <w:jc w:val="both"/>
        <w:rPr>
          <w:rFonts w:ascii="Arial" w:hAnsi="Arial" w:cs="Arial"/>
          <w:sz w:val="20"/>
          <w:szCs w:val="20"/>
          <w:lang w:val="es-MX"/>
        </w:rPr>
      </w:pPr>
      <w:r>
        <w:rPr>
          <w:rFonts w:ascii="Arial" w:hAnsi="Arial" w:cs="Arial"/>
          <w:sz w:val="20"/>
          <w:szCs w:val="20"/>
          <w:lang w:val="es-MX"/>
        </w:rPr>
        <w:t>-</w:t>
      </w:r>
      <w:r>
        <w:t xml:space="preserve"> </w:t>
      </w:r>
      <w:r w:rsidRPr="00DE7ED9">
        <w:rPr>
          <w:rFonts w:ascii="Arial" w:hAnsi="Arial" w:cs="Arial"/>
          <w:sz w:val="20"/>
          <w:szCs w:val="20"/>
          <w:lang w:val="es-MX"/>
        </w:rPr>
        <w:t>Restringir la autorización para generar estados financieros a un rol específico.</w:t>
      </w:r>
    </w:p>
    <w:p w:rsidR="00F80C5D" w:rsidRDefault="00F80C5D" w:rsidP="00F80C5D">
      <w:pPr>
        <w:spacing w:line="0" w:lineRule="atLeast"/>
        <w:contextualSpacing/>
        <w:jc w:val="both"/>
        <w:rPr>
          <w:rFonts w:ascii="Arial" w:hAnsi="Arial" w:cs="Arial"/>
          <w:sz w:val="20"/>
          <w:szCs w:val="20"/>
          <w:lang w:val="es-MX"/>
        </w:rPr>
      </w:pPr>
      <w:r>
        <w:rPr>
          <w:rFonts w:ascii="Arial" w:hAnsi="Arial" w:cs="Arial"/>
          <w:sz w:val="20"/>
          <w:szCs w:val="20"/>
          <w:lang w:val="es-MX"/>
        </w:rPr>
        <w:tab/>
      </w:r>
    </w:p>
    <w:p w:rsidR="00F80C5D" w:rsidRDefault="00F80C5D" w:rsidP="00F80C5D">
      <w:pPr>
        <w:spacing w:line="0" w:lineRule="atLeast"/>
        <w:contextualSpacing/>
        <w:jc w:val="both"/>
        <w:rPr>
          <w:rFonts w:ascii="Arial" w:hAnsi="Arial" w:cs="Arial"/>
          <w:sz w:val="20"/>
          <w:szCs w:val="20"/>
          <w:lang w:val="es-MX"/>
        </w:rPr>
      </w:pPr>
      <w:r>
        <w:rPr>
          <w:rFonts w:ascii="Arial" w:hAnsi="Arial" w:cs="Arial"/>
          <w:sz w:val="20"/>
          <w:szCs w:val="20"/>
          <w:lang w:val="es-MX"/>
        </w:rPr>
        <w:tab/>
      </w:r>
      <w:r w:rsidRPr="00DE7ED9">
        <w:rPr>
          <w:rFonts w:ascii="Arial" w:hAnsi="Arial" w:cs="Arial"/>
          <w:sz w:val="20"/>
          <w:szCs w:val="20"/>
          <w:lang w:val="es-MX"/>
        </w:rPr>
        <w:t xml:space="preserve">Departamento </w:t>
      </w:r>
      <w:r>
        <w:rPr>
          <w:rFonts w:ascii="Arial" w:hAnsi="Arial" w:cs="Arial"/>
          <w:sz w:val="20"/>
          <w:szCs w:val="20"/>
          <w:lang w:val="es-MX"/>
        </w:rPr>
        <w:t xml:space="preserve">de </w:t>
      </w:r>
      <w:r w:rsidRPr="00DE7ED9">
        <w:rPr>
          <w:rFonts w:ascii="Arial" w:hAnsi="Arial" w:cs="Arial"/>
          <w:sz w:val="20"/>
          <w:szCs w:val="20"/>
          <w:lang w:val="es-MX"/>
        </w:rPr>
        <w:t>Control Presupuestal</w:t>
      </w:r>
      <w:r>
        <w:rPr>
          <w:rFonts w:ascii="Arial" w:hAnsi="Arial" w:cs="Arial"/>
          <w:sz w:val="20"/>
          <w:szCs w:val="20"/>
          <w:lang w:val="es-MX"/>
        </w:rPr>
        <w:t>;</w:t>
      </w:r>
    </w:p>
    <w:p w:rsidR="00F80C5D" w:rsidRPr="006D018A" w:rsidRDefault="00F80C5D" w:rsidP="00F80C5D">
      <w:pPr>
        <w:spacing w:before="240"/>
        <w:ind w:left="1410"/>
        <w:jc w:val="both"/>
        <w:rPr>
          <w:rFonts w:ascii="Arial" w:hAnsi="Arial" w:cs="Arial"/>
          <w:sz w:val="20"/>
          <w:szCs w:val="20"/>
          <w:lang w:val="es-MX"/>
        </w:rPr>
      </w:pPr>
      <w:r w:rsidRPr="00DE7ED9">
        <w:rPr>
          <w:rFonts w:ascii="Arial" w:hAnsi="Arial" w:cs="Arial"/>
          <w:sz w:val="20"/>
          <w:szCs w:val="20"/>
          <w:lang w:val="es-MX"/>
        </w:rPr>
        <w:t>CONAC - Cuenta pública: Ingresos de Flujo de Efectivo de Entidades de Control Presupuestario Indirecto productoras de bienes y servicios.</w:t>
      </w:r>
    </w:p>
    <w:p w:rsidR="00F80C5D" w:rsidRDefault="00F80C5D" w:rsidP="00F80C5D">
      <w:pPr>
        <w:spacing w:before="240"/>
        <w:ind w:left="1410"/>
        <w:jc w:val="both"/>
        <w:rPr>
          <w:rFonts w:ascii="Arial" w:hAnsi="Arial" w:cs="Arial"/>
          <w:sz w:val="20"/>
          <w:szCs w:val="20"/>
          <w:lang w:val="es-MX"/>
        </w:rPr>
      </w:pPr>
      <w:r w:rsidRPr="00DE7ED9">
        <w:rPr>
          <w:rFonts w:ascii="Arial" w:hAnsi="Arial" w:cs="Arial"/>
          <w:sz w:val="20"/>
          <w:szCs w:val="20"/>
          <w:lang w:val="es-MX"/>
        </w:rPr>
        <w:t>CONAC - Cuenta púb</w:t>
      </w:r>
      <w:r>
        <w:rPr>
          <w:rFonts w:ascii="Arial" w:hAnsi="Arial" w:cs="Arial"/>
          <w:sz w:val="20"/>
          <w:szCs w:val="20"/>
          <w:lang w:val="es-MX"/>
        </w:rPr>
        <w:t xml:space="preserve">lica: </w:t>
      </w:r>
      <w:r w:rsidRPr="00DE7ED9">
        <w:rPr>
          <w:rFonts w:ascii="Arial" w:hAnsi="Arial" w:cs="Arial"/>
          <w:sz w:val="20"/>
          <w:szCs w:val="20"/>
          <w:lang w:val="es-MX"/>
        </w:rPr>
        <w:t xml:space="preserve">Egresos de Flujo de Efectivo de Entidades de Control Presupuestario Indirecto productoras de bienes y servicios. </w:t>
      </w:r>
    </w:p>
    <w:p w:rsidR="00F80C5D" w:rsidRPr="006D018A" w:rsidRDefault="00F80C5D" w:rsidP="00F80C5D">
      <w:pPr>
        <w:spacing w:before="240"/>
        <w:ind w:left="1404" w:firstLine="6"/>
        <w:jc w:val="both"/>
        <w:rPr>
          <w:rFonts w:ascii="Arial" w:hAnsi="Arial" w:cs="Arial"/>
          <w:sz w:val="20"/>
          <w:szCs w:val="20"/>
          <w:lang w:val="es-MX"/>
        </w:rPr>
      </w:pPr>
      <w:r w:rsidRPr="00DE7ED9">
        <w:rPr>
          <w:rFonts w:ascii="Arial" w:hAnsi="Arial" w:cs="Arial"/>
          <w:sz w:val="20"/>
          <w:szCs w:val="20"/>
          <w:lang w:val="es-MX"/>
        </w:rPr>
        <w:t>CONAC - Cuenta pública: Estado Analítico de Ingresos.</w:t>
      </w:r>
    </w:p>
    <w:p w:rsidR="00F80C5D" w:rsidRDefault="00F80C5D" w:rsidP="00F80C5D">
      <w:pPr>
        <w:spacing w:before="240"/>
        <w:ind w:left="1404"/>
        <w:jc w:val="both"/>
        <w:rPr>
          <w:rFonts w:ascii="Arial" w:hAnsi="Arial" w:cs="Arial"/>
          <w:sz w:val="20"/>
          <w:szCs w:val="20"/>
          <w:lang w:val="es-MX"/>
        </w:rPr>
      </w:pPr>
      <w:r w:rsidRPr="00B226BF">
        <w:rPr>
          <w:rFonts w:ascii="Arial" w:hAnsi="Arial" w:cs="Arial"/>
          <w:sz w:val="20"/>
          <w:szCs w:val="20"/>
          <w:lang w:val="es-MX"/>
        </w:rPr>
        <w:lastRenderedPageBreak/>
        <w:t>CONAC - Cuenta pública: Estado Analítico del Ejercicio de Presupuesto de Egresos por Clasificación Administrativa.</w:t>
      </w:r>
    </w:p>
    <w:p w:rsidR="00F80C5D" w:rsidRDefault="00F80C5D" w:rsidP="00F80C5D">
      <w:pPr>
        <w:spacing w:before="240"/>
        <w:ind w:left="1404"/>
        <w:jc w:val="both"/>
        <w:rPr>
          <w:rFonts w:ascii="Arial" w:hAnsi="Arial" w:cs="Arial"/>
          <w:sz w:val="20"/>
          <w:szCs w:val="20"/>
          <w:lang w:val="es-MX"/>
        </w:rPr>
      </w:pPr>
      <w:r w:rsidRPr="00B226BF">
        <w:rPr>
          <w:rFonts w:ascii="Arial" w:hAnsi="Arial" w:cs="Arial"/>
          <w:sz w:val="20"/>
          <w:szCs w:val="20"/>
          <w:lang w:val="es-MX"/>
        </w:rPr>
        <w:t>CONAC - Cuenta pública: Estado Analítico del Ejercicio del Presupuesto de Egresos en Clasificación Económica y por Objeto del Gasto.</w:t>
      </w:r>
    </w:p>
    <w:p w:rsidR="00F80C5D" w:rsidRDefault="00F80C5D" w:rsidP="00F80C5D">
      <w:pPr>
        <w:spacing w:before="240"/>
        <w:ind w:left="1404"/>
        <w:jc w:val="both"/>
        <w:rPr>
          <w:rFonts w:ascii="Arial" w:hAnsi="Arial" w:cs="Arial"/>
          <w:sz w:val="20"/>
          <w:szCs w:val="20"/>
          <w:lang w:val="es-MX"/>
        </w:rPr>
      </w:pPr>
      <w:r>
        <w:rPr>
          <w:rFonts w:ascii="Arial" w:hAnsi="Arial" w:cs="Arial"/>
          <w:sz w:val="20"/>
          <w:szCs w:val="20"/>
          <w:lang w:val="es-MX"/>
        </w:rPr>
        <w:t xml:space="preserve">CONAC - Cuenta pública: </w:t>
      </w:r>
      <w:r w:rsidRPr="00B226BF">
        <w:rPr>
          <w:rFonts w:ascii="Arial" w:hAnsi="Arial" w:cs="Arial"/>
          <w:sz w:val="20"/>
          <w:szCs w:val="20"/>
          <w:lang w:val="es-MX"/>
        </w:rPr>
        <w:t>Estado Analítico del Ejercicio del Presupuesto en Clasificación Funcional-Programática.</w:t>
      </w:r>
    </w:p>
    <w:p w:rsidR="00F80C5D" w:rsidRDefault="00F80C5D" w:rsidP="00F80C5D">
      <w:pPr>
        <w:spacing w:before="240"/>
        <w:ind w:left="1404"/>
        <w:jc w:val="both"/>
        <w:rPr>
          <w:rFonts w:ascii="Arial" w:hAnsi="Arial" w:cs="Arial"/>
          <w:sz w:val="20"/>
          <w:szCs w:val="20"/>
          <w:lang w:val="es-MX"/>
        </w:rPr>
      </w:pPr>
      <w:r>
        <w:rPr>
          <w:rFonts w:ascii="Arial" w:hAnsi="Arial" w:cs="Arial"/>
          <w:sz w:val="20"/>
          <w:szCs w:val="20"/>
          <w:lang w:val="es-MX"/>
        </w:rPr>
        <w:t>-</w:t>
      </w:r>
      <w:r w:rsidRPr="00B226BF">
        <w:rPr>
          <w:rFonts w:ascii="Arial" w:hAnsi="Arial" w:cs="Arial"/>
          <w:sz w:val="20"/>
          <w:szCs w:val="20"/>
          <w:lang w:val="es-MX"/>
        </w:rPr>
        <w:t>Desarrollar un módulo para programación y presupuestario (anteproyecto de presupuesto) en el que los responsables de las diferentes áreas capturen las partidas e importes que planean gastar (presupuesto) de acuerdo a su plan de trabajo</w:t>
      </w:r>
      <w:r>
        <w:rPr>
          <w:rFonts w:ascii="Arial" w:hAnsi="Arial" w:cs="Arial"/>
          <w:sz w:val="20"/>
          <w:szCs w:val="20"/>
          <w:lang w:val="es-MX"/>
        </w:rPr>
        <w:t>.</w:t>
      </w:r>
    </w:p>
    <w:p w:rsidR="00F80C5D" w:rsidRDefault="00F80C5D" w:rsidP="00F80C5D">
      <w:pPr>
        <w:spacing w:before="240"/>
        <w:ind w:left="1404"/>
        <w:jc w:val="both"/>
        <w:rPr>
          <w:rFonts w:ascii="Arial" w:hAnsi="Arial" w:cs="Arial"/>
          <w:sz w:val="20"/>
          <w:szCs w:val="20"/>
          <w:lang w:val="es-MX"/>
        </w:rPr>
      </w:pPr>
      <w:r>
        <w:rPr>
          <w:rFonts w:ascii="Arial" w:hAnsi="Arial" w:cs="Arial"/>
          <w:sz w:val="20"/>
          <w:szCs w:val="20"/>
          <w:lang w:val="es-MX"/>
        </w:rPr>
        <w:t>-</w:t>
      </w:r>
      <w:r w:rsidRPr="00B226BF">
        <w:rPr>
          <w:rFonts w:ascii="Arial" w:hAnsi="Arial" w:cs="Arial"/>
          <w:sz w:val="20"/>
          <w:szCs w:val="20"/>
          <w:lang w:val="es-MX"/>
        </w:rPr>
        <w:t>Incluir en la clave presupuestaria la columna de Programa de Inversión (PPI) correspondiente a</w:t>
      </w:r>
      <w:r>
        <w:rPr>
          <w:rFonts w:ascii="Arial" w:hAnsi="Arial" w:cs="Arial"/>
          <w:sz w:val="20"/>
          <w:szCs w:val="20"/>
          <w:lang w:val="es-MX"/>
        </w:rPr>
        <w:t>l número de registro en Cartera c</w:t>
      </w:r>
      <w:r w:rsidRPr="00B226BF">
        <w:rPr>
          <w:rFonts w:ascii="Arial" w:hAnsi="Arial" w:cs="Arial"/>
          <w:sz w:val="20"/>
          <w:szCs w:val="20"/>
          <w:lang w:val="es-MX"/>
        </w:rPr>
        <w:t>onsiderar los ajustes a los diferentes reportes del módulo de presupuesto para poder filtrar por este PPI</w:t>
      </w:r>
      <w:r>
        <w:rPr>
          <w:rFonts w:ascii="Arial" w:hAnsi="Arial" w:cs="Arial"/>
          <w:sz w:val="20"/>
          <w:szCs w:val="20"/>
          <w:lang w:val="es-MX"/>
        </w:rPr>
        <w:t>.</w:t>
      </w:r>
    </w:p>
    <w:p w:rsidR="00F80C5D" w:rsidRDefault="00F80C5D" w:rsidP="00F80C5D">
      <w:pPr>
        <w:spacing w:before="240"/>
        <w:ind w:left="1404"/>
        <w:jc w:val="both"/>
        <w:rPr>
          <w:rFonts w:ascii="Arial" w:hAnsi="Arial" w:cs="Arial"/>
          <w:sz w:val="20"/>
          <w:szCs w:val="20"/>
          <w:lang w:val="es-MX"/>
        </w:rPr>
      </w:pPr>
      <w:r>
        <w:rPr>
          <w:rFonts w:ascii="Arial" w:hAnsi="Arial" w:cs="Arial"/>
          <w:sz w:val="20"/>
          <w:szCs w:val="20"/>
          <w:lang w:val="es-MX"/>
        </w:rPr>
        <w:t>-</w:t>
      </w:r>
      <w:r w:rsidRPr="00B226BF">
        <w:rPr>
          <w:rFonts w:ascii="Arial" w:hAnsi="Arial" w:cs="Arial"/>
          <w:sz w:val="20"/>
          <w:szCs w:val="20"/>
          <w:lang w:val="es-MX"/>
        </w:rPr>
        <w:t>Agregar filtro que permita identificar las claves presupuestarias correspondientes al Fideicomiso y su presupuesto relacionado.</w:t>
      </w:r>
    </w:p>
    <w:p w:rsidR="00F80C5D" w:rsidRDefault="00F80C5D" w:rsidP="00F80C5D">
      <w:pPr>
        <w:spacing w:before="240"/>
        <w:ind w:left="1404"/>
        <w:jc w:val="both"/>
        <w:rPr>
          <w:rFonts w:ascii="Arial" w:hAnsi="Arial" w:cs="Arial"/>
          <w:sz w:val="20"/>
          <w:szCs w:val="20"/>
          <w:lang w:val="es-MX"/>
        </w:rPr>
      </w:pPr>
      <w:r>
        <w:rPr>
          <w:rFonts w:ascii="Arial" w:hAnsi="Arial" w:cs="Arial"/>
          <w:sz w:val="20"/>
          <w:szCs w:val="20"/>
          <w:lang w:val="es-MX"/>
        </w:rPr>
        <w:t>-</w:t>
      </w:r>
      <w:r w:rsidRPr="00B226BF">
        <w:rPr>
          <w:rFonts w:ascii="Arial" w:hAnsi="Arial" w:cs="Arial"/>
          <w:sz w:val="20"/>
          <w:szCs w:val="20"/>
          <w:lang w:val="es-MX"/>
        </w:rPr>
        <w:t>Desarrollar</w:t>
      </w:r>
      <w:r>
        <w:rPr>
          <w:rFonts w:ascii="Arial" w:hAnsi="Arial" w:cs="Arial"/>
          <w:sz w:val="20"/>
          <w:szCs w:val="20"/>
          <w:lang w:val="es-MX"/>
        </w:rPr>
        <w:t xml:space="preserve"> </w:t>
      </w:r>
      <w:r w:rsidRPr="00B226BF">
        <w:rPr>
          <w:rFonts w:ascii="Arial" w:hAnsi="Arial" w:cs="Arial"/>
          <w:sz w:val="20"/>
          <w:szCs w:val="20"/>
          <w:lang w:val="es-MX"/>
        </w:rPr>
        <w:t>la conciliación de Ingresos y Egresos contable presupuestal.</w:t>
      </w:r>
    </w:p>
    <w:p w:rsidR="00F80C5D" w:rsidRDefault="00F80C5D" w:rsidP="00F80C5D">
      <w:pPr>
        <w:spacing w:before="240"/>
        <w:ind w:left="1404"/>
        <w:jc w:val="both"/>
        <w:rPr>
          <w:rFonts w:ascii="Arial" w:hAnsi="Arial" w:cs="Arial"/>
          <w:sz w:val="20"/>
          <w:szCs w:val="20"/>
          <w:lang w:val="es-MX"/>
        </w:rPr>
      </w:pPr>
    </w:p>
    <w:p w:rsidR="00F80C5D" w:rsidRDefault="00F80C5D" w:rsidP="00F80C5D">
      <w:pPr>
        <w:ind w:left="1404"/>
        <w:jc w:val="both"/>
        <w:rPr>
          <w:rFonts w:ascii="Arial" w:hAnsi="Arial" w:cs="Arial"/>
          <w:sz w:val="20"/>
          <w:szCs w:val="20"/>
          <w:lang w:val="es-MX"/>
        </w:rPr>
      </w:pPr>
      <w:r>
        <w:rPr>
          <w:rFonts w:ascii="Arial" w:hAnsi="Arial" w:cs="Arial"/>
          <w:sz w:val="20"/>
          <w:szCs w:val="20"/>
          <w:lang w:val="es-MX"/>
        </w:rPr>
        <w:t>-</w:t>
      </w:r>
      <w:r w:rsidRPr="00B226BF">
        <w:rPr>
          <w:rFonts w:ascii="Arial" w:hAnsi="Arial" w:cs="Arial"/>
          <w:sz w:val="20"/>
          <w:szCs w:val="20"/>
          <w:lang w:val="es-MX"/>
        </w:rPr>
        <w:t>Adecuaciones a los reportes del estado del ejercicio del presupuesto: Poder configurar las columnas que se desean consultar en lugar de mostrar toda la sábana de campos; incluir columnas adicionales con información del devengado y pagado del módulo de Presupuesto adicional a las columnas correspondientes a los saldos contables</w:t>
      </w:r>
      <w:r>
        <w:rPr>
          <w:rFonts w:ascii="Arial" w:hAnsi="Arial" w:cs="Arial"/>
          <w:sz w:val="20"/>
          <w:szCs w:val="20"/>
          <w:lang w:val="es-MX"/>
        </w:rPr>
        <w:t>.</w:t>
      </w:r>
    </w:p>
    <w:p w:rsidR="00F80C5D" w:rsidRDefault="00F80C5D" w:rsidP="00F80C5D">
      <w:pPr>
        <w:ind w:left="1404"/>
        <w:jc w:val="both"/>
        <w:rPr>
          <w:rFonts w:ascii="Arial" w:hAnsi="Arial" w:cs="Arial"/>
          <w:sz w:val="20"/>
          <w:szCs w:val="20"/>
          <w:lang w:val="es-MX"/>
        </w:rPr>
      </w:pPr>
    </w:p>
    <w:p w:rsidR="00F80C5D" w:rsidRDefault="00F80C5D" w:rsidP="00F80C5D">
      <w:pPr>
        <w:ind w:left="1404"/>
        <w:jc w:val="both"/>
        <w:rPr>
          <w:rFonts w:ascii="Arial" w:hAnsi="Arial" w:cs="Arial"/>
          <w:sz w:val="20"/>
          <w:szCs w:val="20"/>
          <w:lang w:val="es-MX"/>
        </w:rPr>
      </w:pPr>
      <w:r>
        <w:rPr>
          <w:rFonts w:ascii="Arial" w:hAnsi="Arial" w:cs="Arial"/>
          <w:sz w:val="20"/>
          <w:szCs w:val="20"/>
          <w:lang w:val="es-MX"/>
        </w:rPr>
        <w:t>-</w:t>
      </w:r>
      <w:r w:rsidRPr="00B226BF">
        <w:rPr>
          <w:rFonts w:ascii="Arial" w:hAnsi="Arial" w:cs="Arial"/>
          <w:sz w:val="20"/>
          <w:szCs w:val="20"/>
          <w:lang w:val="es-MX"/>
        </w:rPr>
        <w:t xml:space="preserve">Funcionalidad para transformar archivo de adecuaciones para subir al sistema MAPE: Posibilidad de importar archivo con presupuesto modificado y que el sistema lo redondee y ajuste para que a nivel mensual y total no exista una diferencia mayor a un peso. </w:t>
      </w:r>
    </w:p>
    <w:p w:rsidR="00F80C5D" w:rsidRDefault="00F80C5D" w:rsidP="00F80C5D">
      <w:pPr>
        <w:ind w:left="1404"/>
        <w:jc w:val="both"/>
        <w:rPr>
          <w:rFonts w:ascii="Arial" w:hAnsi="Arial" w:cs="Arial"/>
          <w:sz w:val="20"/>
          <w:szCs w:val="20"/>
          <w:lang w:val="es-MX"/>
        </w:rPr>
      </w:pPr>
    </w:p>
    <w:p w:rsidR="00F80C5D" w:rsidRDefault="00F80C5D" w:rsidP="00F80C5D">
      <w:pPr>
        <w:spacing w:line="0" w:lineRule="atLeast"/>
        <w:ind w:left="1404"/>
        <w:contextualSpacing/>
        <w:jc w:val="both"/>
        <w:rPr>
          <w:rFonts w:ascii="Tahoma" w:hAnsi="Tahoma" w:cs="Tahoma"/>
          <w:sz w:val="20"/>
          <w:szCs w:val="20"/>
        </w:rPr>
      </w:pPr>
      <w:r>
        <w:rPr>
          <w:rFonts w:ascii="Arial" w:hAnsi="Arial" w:cs="Arial"/>
          <w:sz w:val="20"/>
          <w:szCs w:val="20"/>
          <w:lang w:val="es-MX"/>
        </w:rPr>
        <w:t>-</w:t>
      </w:r>
      <w:r w:rsidRPr="008E7FB0">
        <w:rPr>
          <w:rFonts w:ascii="Arial" w:hAnsi="Arial" w:cs="Arial"/>
          <w:sz w:val="20"/>
          <w:szCs w:val="20"/>
          <w:lang w:val="es-MX"/>
        </w:rPr>
        <w:t>Adecuaciones a la funcionalidad de Cartera de inversión y Oficio de liberación de inversión (OLI) en atención a las nuevas disposiciones que emita la SHCP a partir de este ejercicio</w:t>
      </w:r>
      <w:r>
        <w:rPr>
          <w:rFonts w:ascii="Arial" w:hAnsi="Arial" w:cs="Arial"/>
          <w:sz w:val="20"/>
          <w:szCs w:val="20"/>
          <w:lang w:val="es-MX"/>
        </w:rPr>
        <w:t>.</w:t>
      </w:r>
    </w:p>
    <w:p w:rsidR="00F80C5D" w:rsidRDefault="00F80C5D" w:rsidP="00F80C5D">
      <w:pPr>
        <w:spacing w:line="0" w:lineRule="atLeast"/>
        <w:contextualSpacing/>
        <w:jc w:val="both"/>
        <w:rPr>
          <w:rFonts w:ascii="Tahoma" w:hAnsi="Tahoma" w:cs="Tahoma"/>
          <w:sz w:val="20"/>
          <w:szCs w:val="20"/>
        </w:rPr>
      </w:pPr>
      <w:r>
        <w:rPr>
          <w:rFonts w:ascii="Tahoma" w:hAnsi="Tahoma" w:cs="Tahoma"/>
          <w:sz w:val="20"/>
          <w:szCs w:val="20"/>
        </w:rPr>
        <w:tab/>
      </w:r>
    </w:p>
    <w:p w:rsidR="00F80C5D" w:rsidRDefault="00F80C5D" w:rsidP="00F80C5D">
      <w:pPr>
        <w:spacing w:line="0" w:lineRule="atLeast"/>
        <w:ind w:firstLine="708"/>
        <w:contextualSpacing/>
        <w:jc w:val="both"/>
        <w:rPr>
          <w:rFonts w:ascii="Arial" w:hAnsi="Arial" w:cs="Arial"/>
          <w:sz w:val="20"/>
          <w:szCs w:val="20"/>
          <w:lang w:val="es-MX"/>
        </w:rPr>
      </w:pPr>
      <w:r w:rsidRPr="00B226BF">
        <w:rPr>
          <w:rFonts w:ascii="Arial" w:hAnsi="Arial" w:cs="Arial"/>
          <w:sz w:val="20"/>
          <w:szCs w:val="20"/>
          <w:lang w:val="es-MX"/>
        </w:rPr>
        <w:t>Departamento  de Tesorería</w:t>
      </w:r>
      <w:r>
        <w:rPr>
          <w:rFonts w:ascii="Arial" w:hAnsi="Arial" w:cs="Arial"/>
          <w:sz w:val="20"/>
          <w:szCs w:val="20"/>
          <w:lang w:val="es-MX"/>
        </w:rPr>
        <w:t>:</w:t>
      </w:r>
    </w:p>
    <w:p w:rsidR="00F80C5D" w:rsidRDefault="00F80C5D" w:rsidP="00F80C5D">
      <w:pPr>
        <w:spacing w:before="240"/>
        <w:ind w:left="1410"/>
        <w:jc w:val="both"/>
        <w:rPr>
          <w:rFonts w:ascii="Arial" w:hAnsi="Arial" w:cs="Arial"/>
          <w:sz w:val="20"/>
          <w:szCs w:val="20"/>
          <w:lang w:val="es-MX"/>
        </w:rPr>
      </w:pPr>
      <w:r>
        <w:rPr>
          <w:rFonts w:ascii="Arial" w:hAnsi="Arial" w:cs="Arial"/>
          <w:sz w:val="20"/>
          <w:szCs w:val="20"/>
          <w:lang w:val="es-MX"/>
        </w:rPr>
        <w:t>- </w:t>
      </w:r>
      <w:r w:rsidRPr="00B226BF">
        <w:rPr>
          <w:rFonts w:ascii="Arial" w:hAnsi="Arial" w:cs="Arial"/>
          <w:sz w:val="20"/>
          <w:szCs w:val="20"/>
          <w:lang w:val="es-MX"/>
        </w:rPr>
        <w:t>Habilitar la funcionalidad para que desde la generación del cheque se generen automáticamente las pólizas correspondientes (contable y presupuestal)</w:t>
      </w:r>
      <w:r>
        <w:rPr>
          <w:rFonts w:ascii="Arial" w:hAnsi="Arial" w:cs="Arial"/>
          <w:sz w:val="20"/>
          <w:szCs w:val="20"/>
          <w:lang w:val="es-MX"/>
        </w:rPr>
        <w:t>.</w:t>
      </w:r>
    </w:p>
    <w:p w:rsidR="00F80C5D" w:rsidRDefault="00F80C5D" w:rsidP="00F80C5D">
      <w:pPr>
        <w:spacing w:line="0" w:lineRule="atLeast"/>
        <w:ind w:left="1410" w:firstLine="6"/>
        <w:contextualSpacing/>
        <w:jc w:val="both"/>
        <w:rPr>
          <w:rFonts w:ascii="Arial" w:hAnsi="Arial" w:cs="Arial"/>
          <w:sz w:val="20"/>
          <w:szCs w:val="20"/>
          <w:lang w:val="es-MX"/>
        </w:rPr>
      </w:pPr>
    </w:p>
    <w:p w:rsidR="00F80C5D" w:rsidRDefault="00F80C5D" w:rsidP="00F80C5D">
      <w:pPr>
        <w:spacing w:line="0" w:lineRule="atLeast"/>
        <w:ind w:left="1410" w:firstLine="6"/>
        <w:contextualSpacing/>
        <w:jc w:val="both"/>
        <w:rPr>
          <w:rFonts w:ascii="Arial" w:hAnsi="Arial" w:cs="Arial"/>
          <w:sz w:val="20"/>
          <w:szCs w:val="20"/>
          <w:lang w:val="es-MX"/>
        </w:rPr>
      </w:pPr>
      <w:r>
        <w:rPr>
          <w:rFonts w:ascii="Arial" w:hAnsi="Arial" w:cs="Arial"/>
          <w:sz w:val="20"/>
          <w:szCs w:val="20"/>
          <w:lang w:val="es-MX"/>
        </w:rPr>
        <w:t>-</w:t>
      </w:r>
      <w:r>
        <w:t xml:space="preserve"> </w:t>
      </w:r>
      <w:r w:rsidRPr="00B226BF">
        <w:rPr>
          <w:rFonts w:ascii="Arial" w:hAnsi="Arial" w:cs="Arial"/>
          <w:sz w:val="20"/>
          <w:szCs w:val="20"/>
          <w:lang w:val="es-MX"/>
        </w:rPr>
        <w:t>Habilitar funcionalidad para que desde el módulo de Almacenes se genere un formato de solicitud de pago que acompañará a la entrada almacenaría para el trámite en el módulo de Tesorería</w:t>
      </w:r>
      <w:r>
        <w:rPr>
          <w:rFonts w:ascii="Arial" w:hAnsi="Arial" w:cs="Arial"/>
          <w:sz w:val="20"/>
          <w:szCs w:val="20"/>
          <w:lang w:val="es-MX"/>
        </w:rPr>
        <w:t>.</w:t>
      </w:r>
    </w:p>
    <w:p w:rsidR="00F80C5D" w:rsidRDefault="00F80C5D" w:rsidP="00F80C5D">
      <w:pPr>
        <w:spacing w:line="0" w:lineRule="atLeast"/>
        <w:contextualSpacing/>
        <w:jc w:val="both"/>
        <w:rPr>
          <w:rFonts w:ascii="Arial" w:hAnsi="Arial" w:cs="Arial"/>
          <w:sz w:val="20"/>
          <w:szCs w:val="20"/>
          <w:lang w:val="es-MX"/>
        </w:rPr>
      </w:pPr>
    </w:p>
    <w:p w:rsidR="00F80C5D" w:rsidRDefault="00F80C5D" w:rsidP="00F80C5D">
      <w:pPr>
        <w:spacing w:line="0" w:lineRule="atLeast"/>
        <w:contextualSpacing/>
        <w:jc w:val="both"/>
        <w:rPr>
          <w:rFonts w:ascii="Arial" w:hAnsi="Arial" w:cs="Arial"/>
          <w:sz w:val="20"/>
          <w:szCs w:val="20"/>
          <w:lang w:val="es-MX"/>
        </w:rPr>
      </w:pPr>
      <w:r w:rsidRPr="00B226BF">
        <w:rPr>
          <w:rFonts w:ascii="Arial" w:hAnsi="Arial" w:cs="Arial"/>
          <w:sz w:val="20"/>
          <w:szCs w:val="20"/>
          <w:lang w:val="es-MX"/>
        </w:rPr>
        <w:t>Subdirección de Recursos Materiales</w:t>
      </w:r>
      <w:r>
        <w:rPr>
          <w:rFonts w:ascii="Arial" w:hAnsi="Arial" w:cs="Arial"/>
          <w:sz w:val="20"/>
          <w:szCs w:val="20"/>
          <w:lang w:val="es-MX"/>
        </w:rPr>
        <w:t>:</w:t>
      </w:r>
    </w:p>
    <w:p w:rsidR="00F80C5D" w:rsidRDefault="00F80C5D" w:rsidP="00F80C5D">
      <w:pPr>
        <w:spacing w:line="0" w:lineRule="atLeast"/>
        <w:ind w:firstLine="708"/>
        <w:contextualSpacing/>
        <w:jc w:val="both"/>
        <w:rPr>
          <w:rFonts w:ascii="Arial" w:hAnsi="Arial" w:cs="Arial"/>
          <w:sz w:val="20"/>
          <w:szCs w:val="20"/>
          <w:lang w:val="es-MX"/>
        </w:rPr>
      </w:pPr>
    </w:p>
    <w:p w:rsidR="00F80C5D" w:rsidRDefault="00F80C5D" w:rsidP="00F80C5D">
      <w:pPr>
        <w:spacing w:line="0" w:lineRule="atLeast"/>
        <w:ind w:firstLine="708"/>
        <w:contextualSpacing/>
        <w:jc w:val="both"/>
        <w:rPr>
          <w:rFonts w:ascii="Arial" w:hAnsi="Arial" w:cs="Arial"/>
          <w:sz w:val="20"/>
          <w:szCs w:val="20"/>
          <w:lang w:val="es-MX"/>
        </w:rPr>
      </w:pPr>
      <w:r w:rsidRPr="00B226BF">
        <w:rPr>
          <w:rFonts w:ascii="Arial" w:hAnsi="Arial" w:cs="Arial"/>
          <w:sz w:val="20"/>
          <w:szCs w:val="20"/>
          <w:lang w:val="es-MX"/>
        </w:rPr>
        <w:t>Departamento de Almacenes</w:t>
      </w:r>
      <w:r>
        <w:rPr>
          <w:rFonts w:ascii="Arial" w:hAnsi="Arial" w:cs="Arial"/>
          <w:sz w:val="20"/>
          <w:szCs w:val="20"/>
          <w:lang w:val="es-MX"/>
        </w:rPr>
        <w:t>:</w:t>
      </w:r>
    </w:p>
    <w:p w:rsidR="00F80C5D" w:rsidRDefault="00F80C5D" w:rsidP="00F80C5D">
      <w:pPr>
        <w:spacing w:before="240"/>
        <w:ind w:left="708" w:firstLine="708"/>
        <w:jc w:val="both"/>
        <w:rPr>
          <w:rFonts w:ascii="Arial" w:hAnsi="Arial" w:cs="Arial"/>
          <w:sz w:val="20"/>
          <w:szCs w:val="20"/>
          <w:lang w:val="es-MX"/>
        </w:rPr>
      </w:pPr>
      <w:r>
        <w:rPr>
          <w:rFonts w:ascii="Arial" w:hAnsi="Arial" w:cs="Arial"/>
          <w:sz w:val="20"/>
          <w:szCs w:val="20"/>
          <w:lang w:val="es-MX"/>
        </w:rPr>
        <w:t>-</w:t>
      </w:r>
      <w:r w:rsidRPr="00B226BF">
        <w:rPr>
          <w:rFonts w:ascii="Arial" w:hAnsi="Arial" w:cs="Arial"/>
          <w:sz w:val="20"/>
          <w:szCs w:val="20"/>
          <w:lang w:val="es-MX"/>
        </w:rPr>
        <w:t>Panel de visualización del reporte de consumos por centro de costos.</w:t>
      </w:r>
    </w:p>
    <w:p w:rsidR="00F80C5D" w:rsidRDefault="00F80C5D" w:rsidP="00F80C5D">
      <w:pPr>
        <w:spacing w:before="240"/>
        <w:ind w:left="1416"/>
        <w:jc w:val="both"/>
        <w:rPr>
          <w:rFonts w:ascii="Arial" w:hAnsi="Arial" w:cs="Arial"/>
          <w:sz w:val="20"/>
          <w:szCs w:val="20"/>
          <w:lang w:val="es-MX"/>
        </w:rPr>
      </w:pPr>
      <w:r>
        <w:rPr>
          <w:rFonts w:ascii="Arial" w:hAnsi="Arial" w:cs="Arial"/>
          <w:sz w:val="20"/>
          <w:szCs w:val="20"/>
          <w:lang w:val="es-MX"/>
        </w:rPr>
        <w:t>-</w:t>
      </w:r>
      <w:r>
        <w:t xml:space="preserve"> </w:t>
      </w:r>
      <w:r w:rsidRPr="00B226BF">
        <w:rPr>
          <w:rFonts w:ascii="Arial" w:hAnsi="Arial" w:cs="Arial"/>
          <w:sz w:val="20"/>
          <w:szCs w:val="20"/>
          <w:lang w:val="es-MX"/>
        </w:rPr>
        <w:t>Adicionar la captura de fecha y lote en salidas.</w:t>
      </w:r>
    </w:p>
    <w:p w:rsidR="00F80C5D" w:rsidRPr="008429D1" w:rsidRDefault="00F80C5D" w:rsidP="00F80C5D">
      <w:pPr>
        <w:spacing w:before="240"/>
        <w:ind w:left="708" w:firstLine="708"/>
        <w:jc w:val="both"/>
        <w:rPr>
          <w:rFonts w:ascii="Arial" w:hAnsi="Arial" w:cs="Arial"/>
          <w:sz w:val="20"/>
          <w:szCs w:val="20"/>
          <w:lang w:val="es-MX"/>
        </w:rPr>
      </w:pPr>
      <w:r w:rsidRPr="008429D1">
        <w:rPr>
          <w:rFonts w:ascii="Arial" w:hAnsi="Arial" w:cs="Arial"/>
          <w:sz w:val="20"/>
          <w:szCs w:val="20"/>
          <w:lang w:val="es-MX"/>
        </w:rPr>
        <w:lastRenderedPageBreak/>
        <w:t>Activo Fijo</w:t>
      </w:r>
    </w:p>
    <w:p w:rsidR="00F80C5D" w:rsidRDefault="00F80C5D" w:rsidP="00F80C5D">
      <w:pPr>
        <w:spacing w:before="240"/>
        <w:ind w:left="708" w:firstLine="708"/>
        <w:jc w:val="both"/>
        <w:rPr>
          <w:rFonts w:ascii="Arial" w:hAnsi="Arial" w:cs="Arial"/>
          <w:sz w:val="20"/>
          <w:szCs w:val="20"/>
          <w:lang w:val="es-MX"/>
        </w:rPr>
      </w:pPr>
      <w:r>
        <w:rPr>
          <w:rFonts w:ascii="Arial" w:hAnsi="Arial" w:cs="Arial"/>
          <w:sz w:val="20"/>
          <w:szCs w:val="20"/>
          <w:lang w:val="es-MX"/>
        </w:rPr>
        <w:t>-</w:t>
      </w:r>
      <w:r w:rsidRPr="00DB0934">
        <w:rPr>
          <w:rFonts w:ascii="Arial" w:hAnsi="Arial" w:cs="Arial"/>
          <w:sz w:val="20"/>
          <w:szCs w:val="20"/>
          <w:lang w:val="es-MX"/>
        </w:rPr>
        <w:t>Habilitar número de serie y modelo en el módulo de activo fijo.</w:t>
      </w:r>
    </w:p>
    <w:p w:rsidR="00F80C5D" w:rsidRDefault="00F80C5D" w:rsidP="00F80C5D">
      <w:pPr>
        <w:spacing w:before="240"/>
        <w:ind w:left="1416"/>
        <w:jc w:val="both"/>
        <w:rPr>
          <w:rFonts w:ascii="Arial" w:hAnsi="Arial" w:cs="Arial"/>
          <w:sz w:val="20"/>
          <w:szCs w:val="20"/>
          <w:lang w:val="es-MX"/>
        </w:rPr>
      </w:pPr>
      <w:r>
        <w:rPr>
          <w:rFonts w:ascii="Arial" w:hAnsi="Arial" w:cs="Arial"/>
          <w:sz w:val="20"/>
          <w:szCs w:val="20"/>
          <w:lang w:val="es-MX"/>
        </w:rPr>
        <w:t>-</w:t>
      </w:r>
      <w:r w:rsidRPr="00DB0934">
        <w:rPr>
          <w:rFonts w:ascii="Arial" w:hAnsi="Arial" w:cs="Arial"/>
          <w:sz w:val="20"/>
          <w:szCs w:val="20"/>
          <w:lang w:val="es-MX"/>
        </w:rPr>
        <w:t>Incluir la opción de un catálogo fotográfico por modelo para activo fijo y área médica.</w:t>
      </w:r>
    </w:p>
    <w:p w:rsidR="00F80C5D" w:rsidRDefault="00F80C5D" w:rsidP="00F80C5D">
      <w:pPr>
        <w:spacing w:before="240"/>
        <w:ind w:left="708" w:firstLine="708"/>
        <w:jc w:val="both"/>
        <w:rPr>
          <w:rFonts w:ascii="Arial" w:hAnsi="Arial" w:cs="Arial"/>
          <w:sz w:val="20"/>
          <w:szCs w:val="20"/>
          <w:lang w:val="es-MX"/>
        </w:rPr>
      </w:pPr>
      <w:r>
        <w:rPr>
          <w:rFonts w:ascii="Arial" w:hAnsi="Arial" w:cs="Arial"/>
          <w:sz w:val="20"/>
          <w:szCs w:val="20"/>
          <w:lang w:val="es-MX"/>
        </w:rPr>
        <w:t>-</w:t>
      </w:r>
      <w:r w:rsidRPr="00DB0934">
        <w:rPr>
          <w:rFonts w:ascii="Arial" w:hAnsi="Arial" w:cs="Arial"/>
          <w:sz w:val="20"/>
          <w:szCs w:val="20"/>
          <w:lang w:val="es-MX"/>
        </w:rPr>
        <w:t xml:space="preserve">Actualizar la funcionalidad de cambio de </w:t>
      </w:r>
      <w:proofErr w:type="spellStart"/>
      <w:r w:rsidRPr="00DB0934">
        <w:rPr>
          <w:rFonts w:ascii="Arial" w:hAnsi="Arial" w:cs="Arial"/>
          <w:sz w:val="20"/>
          <w:szCs w:val="20"/>
          <w:lang w:val="es-MX"/>
        </w:rPr>
        <w:t>resguardante</w:t>
      </w:r>
      <w:proofErr w:type="spellEnd"/>
      <w:r w:rsidRPr="00DB0934">
        <w:rPr>
          <w:rFonts w:ascii="Arial" w:hAnsi="Arial" w:cs="Arial"/>
          <w:sz w:val="20"/>
          <w:szCs w:val="20"/>
          <w:lang w:val="es-MX"/>
        </w:rPr>
        <w:t>.</w:t>
      </w:r>
    </w:p>
    <w:p w:rsidR="00F80C5D" w:rsidRDefault="00F80C5D" w:rsidP="00F80C5D">
      <w:pPr>
        <w:spacing w:before="240"/>
        <w:ind w:left="708" w:firstLine="708"/>
        <w:jc w:val="both"/>
        <w:rPr>
          <w:rFonts w:ascii="Arial" w:hAnsi="Arial" w:cs="Arial"/>
          <w:sz w:val="20"/>
          <w:szCs w:val="20"/>
          <w:lang w:val="es-MX"/>
        </w:rPr>
      </w:pPr>
      <w:r>
        <w:rPr>
          <w:rFonts w:ascii="Arial" w:hAnsi="Arial" w:cs="Arial"/>
          <w:sz w:val="20"/>
          <w:szCs w:val="20"/>
          <w:lang w:val="es-MX"/>
        </w:rPr>
        <w:t>-</w:t>
      </w:r>
      <w:r w:rsidRPr="00DB0934">
        <w:rPr>
          <w:rFonts w:ascii="Arial" w:hAnsi="Arial" w:cs="Arial"/>
          <w:sz w:val="20"/>
          <w:szCs w:val="20"/>
          <w:lang w:val="es-MX"/>
        </w:rPr>
        <w:t xml:space="preserve"> Incluir Aviso de retiro para Activo Fijo.</w:t>
      </w:r>
    </w:p>
    <w:p w:rsidR="00F80C5D" w:rsidRDefault="00F80C5D" w:rsidP="00F80C5D">
      <w:pPr>
        <w:spacing w:before="240"/>
        <w:ind w:left="1416"/>
        <w:jc w:val="both"/>
        <w:rPr>
          <w:rFonts w:ascii="Arial" w:hAnsi="Arial" w:cs="Arial"/>
          <w:sz w:val="20"/>
          <w:szCs w:val="20"/>
          <w:lang w:val="es-MX"/>
        </w:rPr>
      </w:pPr>
      <w:r>
        <w:rPr>
          <w:rFonts w:ascii="Arial" w:hAnsi="Arial" w:cs="Arial"/>
          <w:sz w:val="20"/>
          <w:szCs w:val="20"/>
          <w:lang w:val="es-MX"/>
        </w:rPr>
        <w:t>-</w:t>
      </w:r>
      <w:r>
        <w:t xml:space="preserve"> </w:t>
      </w:r>
      <w:r w:rsidRPr="00DB0934">
        <w:rPr>
          <w:rFonts w:ascii="Arial" w:hAnsi="Arial" w:cs="Arial"/>
          <w:sz w:val="20"/>
          <w:szCs w:val="20"/>
          <w:lang w:val="es-MX"/>
        </w:rPr>
        <w:t>Incluir Cédula de Actualización de Inventario para Activo Fijo.</w:t>
      </w:r>
    </w:p>
    <w:p w:rsidR="00F80C5D" w:rsidRDefault="00F80C5D" w:rsidP="00F80C5D">
      <w:pPr>
        <w:spacing w:before="240"/>
        <w:ind w:left="1416"/>
        <w:jc w:val="both"/>
        <w:rPr>
          <w:rFonts w:ascii="Arial" w:hAnsi="Arial" w:cs="Arial"/>
          <w:sz w:val="20"/>
          <w:szCs w:val="20"/>
          <w:lang w:val="es-MX"/>
        </w:rPr>
      </w:pPr>
      <w:r>
        <w:rPr>
          <w:rFonts w:ascii="Arial" w:hAnsi="Arial" w:cs="Arial"/>
          <w:sz w:val="20"/>
          <w:szCs w:val="20"/>
          <w:lang w:val="es-MX"/>
        </w:rPr>
        <w:t>-</w:t>
      </w:r>
      <w:r>
        <w:t xml:space="preserve"> </w:t>
      </w:r>
      <w:r w:rsidRPr="00DB0934">
        <w:rPr>
          <w:rFonts w:ascii="Arial" w:hAnsi="Arial" w:cs="Arial"/>
          <w:sz w:val="20"/>
          <w:szCs w:val="20"/>
          <w:lang w:val="es-MX"/>
        </w:rPr>
        <w:t xml:space="preserve">Incluir la posibilidad de incluir un </w:t>
      </w:r>
      <w:proofErr w:type="spellStart"/>
      <w:r w:rsidRPr="00DB0934">
        <w:rPr>
          <w:rFonts w:ascii="Arial" w:hAnsi="Arial" w:cs="Arial"/>
          <w:sz w:val="20"/>
          <w:szCs w:val="20"/>
          <w:lang w:val="es-MX"/>
        </w:rPr>
        <w:t>resguardante</w:t>
      </w:r>
      <w:proofErr w:type="spellEnd"/>
      <w:r w:rsidRPr="00DB0934">
        <w:rPr>
          <w:rFonts w:ascii="Arial" w:hAnsi="Arial" w:cs="Arial"/>
          <w:sz w:val="20"/>
          <w:szCs w:val="20"/>
          <w:lang w:val="es-MX"/>
        </w:rPr>
        <w:t xml:space="preserve"> inicial opcional en lugar de obligatorio</w:t>
      </w:r>
      <w:r>
        <w:rPr>
          <w:rFonts w:ascii="Arial" w:hAnsi="Arial" w:cs="Arial"/>
          <w:sz w:val="20"/>
          <w:szCs w:val="20"/>
          <w:lang w:val="es-MX"/>
        </w:rPr>
        <w:t>.</w:t>
      </w:r>
    </w:p>
    <w:p w:rsidR="00F80C5D" w:rsidRDefault="00F80C5D" w:rsidP="00F80C5D">
      <w:pPr>
        <w:spacing w:before="240"/>
        <w:ind w:left="1416"/>
        <w:jc w:val="both"/>
        <w:rPr>
          <w:rFonts w:ascii="Arial" w:hAnsi="Arial" w:cs="Arial"/>
          <w:sz w:val="20"/>
          <w:szCs w:val="20"/>
          <w:lang w:val="es-MX"/>
        </w:rPr>
      </w:pPr>
      <w:r>
        <w:rPr>
          <w:rFonts w:ascii="Arial" w:hAnsi="Arial" w:cs="Arial"/>
          <w:sz w:val="20"/>
          <w:szCs w:val="20"/>
          <w:lang w:val="es-MX"/>
        </w:rPr>
        <w:t>-</w:t>
      </w:r>
      <w:r w:rsidRPr="00DB0934">
        <w:rPr>
          <w:rFonts w:ascii="Arial" w:hAnsi="Arial" w:cs="Arial"/>
          <w:sz w:val="20"/>
          <w:szCs w:val="20"/>
          <w:lang w:val="es-MX"/>
        </w:rPr>
        <w:t xml:space="preserve"> Incluir la identificación de </w:t>
      </w:r>
      <w:proofErr w:type="spellStart"/>
      <w:r w:rsidRPr="00DB0934">
        <w:rPr>
          <w:rFonts w:ascii="Arial" w:hAnsi="Arial" w:cs="Arial"/>
          <w:sz w:val="20"/>
          <w:szCs w:val="20"/>
          <w:lang w:val="es-MX"/>
        </w:rPr>
        <w:t>resguardante</w:t>
      </w:r>
      <w:proofErr w:type="spellEnd"/>
      <w:r w:rsidRPr="00DB0934">
        <w:rPr>
          <w:rFonts w:ascii="Arial" w:hAnsi="Arial" w:cs="Arial"/>
          <w:sz w:val="20"/>
          <w:szCs w:val="20"/>
          <w:lang w:val="es-MX"/>
        </w:rPr>
        <w:t xml:space="preserve"> anterior de los bienes identificados como sobrantes.</w:t>
      </w:r>
    </w:p>
    <w:p w:rsidR="00F80C5D" w:rsidRDefault="00F80C5D" w:rsidP="00F80C5D">
      <w:pPr>
        <w:spacing w:before="240"/>
        <w:ind w:left="1416"/>
        <w:jc w:val="both"/>
        <w:rPr>
          <w:rFonts w:ascii="Arial" w:hAnsi="Arial" w:cs="Arial"/>
          <w:sz w:val="20"/>
          <w:szCs w:val="20"/>
          <w:lang w:val="es-MX"/>
        </w:rPr>
      </w:pPr>
    </w:p>
    <w:p w:rsidR="00F80C5D" w:rsidRDefault="00F80C5D" w:rsidP="00F80C5D">
      <w:pPr>
        <w:spacing w:line="0" w:lineRule="atLeast"/>
        <w:ind w:left="708" w:firstLine="708"/>
        <w:contextualSpacing/>
        <w:jc w:val="both"/>
        <w:rPr>
          <w:rFonts w:ascii="Arial" w:hAnsi="Arial" w:cs="Arial"/>
          <w:sz w:val="20"/>
          <w:szCs w:val="20"/>
          <w:lang w:val="es-MX"/>
        </w:rPr>
      </w:pPr>
      <w:r>
        <w:rPr>
          <w:rFonts w:ascii="Arial" w:hAnsi="Arial" w:cs="Arial"/>
          <w:sz w:val="20"/>
          <w:szCs w:val="20"/>
          <w:lang w:val="es-MX"/>
        </w:rPr>
        <w:t>-</w:t>
      </w:r>
      <w:r w:rsidRPr="00DB0934">
        <w:rPr>
          <w:rFonts w:ascii="Arial" w:hAnsi="Arial" w:cs="Arial"/>
          <w:sz w:val="20"/>
          <w:szCs w:val="20"/>
          <w:lang w:val="es-MX"/>
        </w:rPr>
        <w:t xml:space="preserve"> Vincular solicitud de baja con el cambio de resguardo.</w:t>
      </w:r>
    </w:p>
    <w:p w:rsidR="00F80C5D" w:rsidRDefault="00F80C5D" w:rsidP="00F80C5D">
      <w:pPr>
        <w:spacing w:line="0" w:lineRule="atLeast"/>
        <w:contextualSpacing/>
        <w:jc w:val="both"/>
        <w:rPr>
          <w:rFonts w:ascii="Arial" w:hAnsi="Arial" w:cs="Arial"/>
          <w:sz w:val="20"/>
          <w:szCs w:val="20"/>
          <w:lang w:val="es-MX"/>
        </w:rPr>
      </w:pPr>
    </w:p>
    <w:p w:rsidR="00F80C5D" w:rsidRDefault="00F80C5D" w:rsidP="00F80C5D">
      <w:pPr>
        <w:spacing w:line="0" w:lineRule="atLeast"/>
        <w:contextualSpacing/>
        <w:jc w:val="both"/>
        <w:rPr>
          <w:rFonts w:ascii="Arial" w:hAnsi="Arial" w:cs="Arial"/>
          <w:sz w:val="20"/>
          <w:szCs w:val="20"/>
          <w:lang w:val="es-MX"/>
        </w:rPr>
      </w:pPr>
      <w:r>
        <w:rPr>
          <w:rFonts w:ascii="Arial" w:hAnsi="Arial" w:cs="Arial"/>
          <w:sz w:val="20"/>
          <w:szCs w:val="20"/>
          <w:lang w:val="es-MX"/>
        </w:rPr>
        <w:tab/>
      </w:r>
      <w:r w:rsidRPr="00DB0934">
        <w:rPr>
          <w:rFonts w:ascii="Arial" w:hAnsi="Arial" w:cs="Arial"/>
          <w:sz w:val="20"/>
          <w:szCs w:val="20"/>
          <w:lang w:val="es-MX"/>
        </w:rPr>
        <w:t>Departamento de Adquisiciones</w:t>
      </w:r>
      <w:r>
        <w:rPr>
          <w:rFonts w:ascii="Arial" w:hAnsi="Arial" w:cs="Arial"/>
          <w:sz w:val="20"/>
          <w:szCs w:val="20"/>
          <w:lang w:val="es-MX"/>
        </w:rPr>
        <w:t>:</w:t>
      </w:r>
    </w:p>
    <w:p w:rsidR="00F80C5D" w:rsidRDefault="00F80C5D" w:rsidP="00F80C5D">
      <w:pPr>
        <w:spacing w:before="240"/>
        <w:jc w:val="both"/>
        <w:rPr>
          <w:rFonts w:ascii="Arial" w:hAnsi="Arial" w:cs="Arial"/>
          <w:sz w:val="20"/>
          <w:szCs w:val="20"/>
          <w:lang w:val="es-MX"/>
        </w:rPr>
      </w:pPr>
      <w:r>
        <w:rPr>
          <w:rFonts w:ascii="Arial" w:hAnsi="Arial" w:cs="Arial"/>
          <w:sz w:val="20"/>
          <w:szCs w:val="20"/>
          <w:lang w:val="es-MX"/>
        </w:rPr>
        <w:tab/>
      </w:r>
      <w:r>
        <w:rPr>
          <w:rFonts w:ascii="Arial" w:hAnsi="Arial" w:cs="Arial"/>
          <w:sz w:val="20"/>
          <w:szCs w:val="20"/>
          <w:lang w:val="es-MX"/>
        </w:rPr>
        <w:tab/>
        <w:t>-</w:t>
      </w:r>
      <w:r>
        <w:t xml:space="preserve"> </w:t>
      </w:r>
      <w:r w:rsidRPr="00DB0934">
        <w:rPr>
          <w:rFonts w:ascii="Arial" w:hAnsi="Arial" w:cs="Arial"/>
          <w:sz w:val="20"/>
          <w:szCs w:val="20"/>
          <w:lang w:val="es-MX"/>
        </w:rPr>
        <w:t>Incluir en los reportes de Consecutivo de pedidos el filtro de Estatus</w:t>
      </w:r>
      <w:r>
        <w:rPr>
          <w:rFonts w:ascii="Arial" w:hAnsi="Arial" w:cs="Arial"/>
          <w:sz w:val="20"/>
          <w:szCs w:val="20"/>
          <w:lang w:val="es-MX"/>
        </w:rPr>
        <w:t>.</w:t>
      </w:r>
    </w:p>
    <w:p w:rsidR="00F80C5D" w:rsidRDefault="00F80C5D" w:rsidP="00F80C5D">
      <w:pPr>
        <w:spacing w:before="240"/>
        <w:ind w:left="1416"/>
        <w:jc w:val="both"/>
        <w:rPr>
          <w:rFonts w:ascii="Arial" w:hAnsi="Arial" w:cs="Arial"/>
          <w:sz w:val="20"/>
          <w:szCs w:val="20"/>
          <w:lang w:val="es-MX"/>
        </w:rPr>
      </w:pPr>
      <w:r>
        <w:rPr>
          <w:rFonts w:ascii="Arial" w:hAnsi="Arial" w:cs="Arial"/>
          <w:sz w:val="20"/>
          <w:szCs w:val="20"/>
          <w:lang w:val="es-MX"/>
        </w:rPr>
        <w:t>-</w:t>
      </w:r>
      <w:r>
        <w:t xml:space="preserve"> </w:t>
      </w:r>
      <w:r w:rsidRPr="00DB0934">
        <w:rPr>
          <w:rFonts w:ascii="Arial" w:hAnsi="Arial" w:cs="Arial"/>
          <w:sz w:val="20"/>
          <w:szCs w:val="20"/>
          <w:lang w:val="es-MX"/>
        </w:rPr>
        <w:t>Cargar el Programa Anual de Adquisiciones e incluir funcionalidad para su seguimiento (comparativo  de las claves que venían en el Programa Anual vs lo que se ha adquirido en el ejercicio y señalar las diferencias</w:t>
      </w:r>
      <w:r w:rsidR="009840E0">
        <w:rPr>
          <w:rFonts w:ascii="Arial" w:hAnsi="Arial" w:cs="Arial"/>
          <w:sz w:val="20"/>
          <w:szCs w:val="20"/>
          <w:lang w:val="es-MX"/>
        </w:rPr>
        <w:t>)</w:t>
      </w:r>
      <w:bookmarkStart w:id="0" w:name="_GoBack"/>
      <w:bookmarkEnd w:id="0"/>
      <w:r>
        <w:rPr>
          <w:rFonts w:ascii="Arial" w:hAnsi="Arial" w:cs="Arial"/>
          <w:sz w:val="20"/>
          <w:szCs w:val="20"/>
          <w:lang w:val="es-MX"/>
        </w:rPr>
        <w:t>.</w:t>
      </w:r>
    </w:p>
    <w:p w:rsidR="00F80C5D" w:rsidRDefault="00F80C5D" w:rsidP="00F80C5D">
      <w:pPr>
        <w:spacing w:before="240"/>
        <w:ind w:left="1416"/>
        <w:jc w:val="both"/>
        <w:rPr>
          <w:rFonts w:ascii="Arial" w:hAnsi="Arial" w:cs="Arial"/>
          <w:sz w:val="20"/>
          <w:szCs w:val="20"/>
          <w:lang w:val="es-MX"/>
        </w:rPr>
      </w:pPr>
      <w:r>
        <w:rPr>
          <w:rFonts w:ascii="Arial" w:hAnsi="Arial" w:cs="Arial"/>
          <w:sz w:val="20"/>
          <w:szCs w:val="20"/>
          <w:lang w:val="es-MX"/>
        </w:rPr>
        <w:t>-</w:t>
      </w:r>
      <w:r w:rsidRPr="00DB0934">
        <w:rPr>
          <w:rFonts w:ascii="Arial" w:hAnsi="Arial" w:cs="Arial"/>
          <w:sz w:val="20"/>
          <w:szCs w:val="20"/>
          <w:lang w:val="es-MX"/>
        </w:rPr>
        <w:t>Cambiar el reporte actual que se utiliza como insumo para elaborar el Programa Anual de Adquisiciones para que la información se tome de las compras en lugar  de los consumos o salidas</w:t>
      </w:r>
      <w:r>
        <w:rPr>
          <w:rFonts w:ascii="Arial" w:hAnsi="Arial" w:cs="Arial"/>
          <w:sz w:val="20"/>
          <w:szCs w:val="20"/>
          <w:lang w:val="es-MX"/>
        </w:rPr>
        <w:t>.</w:t>
      </w:r>
    </w:p>
    <w:p w:rsidR="00F80C5D" w:rsidRDefault="00F80C5D" w:rsidP="00F80C5D">
      <w:pPr>
        <w:spacing w:before="240"/>
        <w:ind w:left="1416"/>
        <w:jc w:val="both"/>
        <w:rPr>
          <w:rFonts w:ascii="Arial" w:hAnsi="Arial" w:cs="Arial"/>
          <w:sz w:val="20"/>
          <w:szCs w:val="20"/>
          <w:lang w:val="es-MX"/>
        </w:rPr>
      </w:pPr>
      <w:r>
        <w:rPr>
          <w:rFonts w:ascii="Arial" w:hAnsi="Arial" w:cs="Arial"/>
          <w:sz w:val="20"/>
          <w:szCs w:val="20"/>
          <w:lang w:val="es-MX"/>
        </w:rPr>
        <w:t>-</w:t>
      </w:r>
      <w:r w:rsidRPr="00DB0934">
        <w:rPr>
          <w:rFonts w:ascii="Arial" w:hAnsi="Arial" w:cs="Arial"/>
          <w:sz w:val="20"/>
          <w:szCs w:val="20"/>
          <w:lang w:val="es-MX"/>
        </w:rPr>
        <w:t>Realizar adecuaciones para que se puedan identificar los pedidos que vienen de contratos plurianuales</w:t>
      </w:r>
      <w:r>
        <w:rPr>
          <w:rFonts w:ascii="Arial" w:hAnsi="Arial" w:cs="Arial"/>
          <w:sz w:val="20"/>
          <w:szCs w:val="20"/>
          <w:lang w:val="es-MX"/>
        </w:rPr>
        <w:t>.</w:t>
      </w:r>
    </w:p>
    <w:p w:rsidR="00F80C5D" w:rsidRDefault="00F80C5D" w:rsidP="00F80C5D">
      <w:pPr>
        <w:spacing w:before="240"/>
        <w:ind w:left="1416"/>
        <w:jc w:val="both"/>
        <w:rPr>
          <w:rFonts w:ascii="Arial" w:hAnsi="Arial" w:cs="Arial"/>
          <w:sz w:val="20"/>
          <w:szCs w:val="20"/>
          <w:lang w:val="es-MX"/>
        </w:rPr>
      </w:pPr>
      <w:r>
        <w:rPr>
          <w:rFonts w:ascii="Arial" w:hAnsi="Arial" w:cs="Arial"/>
          <w:sz w:val="20"/>
          <w:szCs w:val="20"/>
          <w:lang w:val="es-MX"/>
        </w:rPr>
        <w:t>-</w:t>
      </w:r>
      <w:r>
        <w:t xml:space="preserve"> </w:t>
      </w:r>
      <w:r w:rsidRPr="00DB0934">
        <w:rPr>
          <w:rFonts w:ascii="Arial" w:hAnsi="Arial" w:cs="Arial"/>
          <w:sz w:val="20"/>
          <w:szCs w:val="20"/>
          <w:lang w:val="es-MX"/>
        </w:rPr>
        <w:t>Ajustes a reporte de COCODI  (70-30) para incluir el capítulo 5000 y por cada celda la posibilidad de obtener el detalle de pedidos que integran el importe</w:t>
      </w:r>
      <w:r>
        <w:rPr>
          <w:rFonts w:ascii="Arial" w:hAnsi="Arial" w:cs="Arial"/>
          <w:sz w:val="20"/>
          <w:szCs w:val="20"/>
          <w:lang w:val="es-MX"/>
        </w:rPr>
        <w:t>.</w:t>
      </w:r>
    </w:p>
    <w:p w:rsidR="00F80C5D" w:rsidRDefault="00F80C5D" w:rsidP="00F80C5D">
      <w:pPr>
        <w:spacing w:before="240"/>
        <w:ind w:left="1416"/>
        <w:jc w:val="both"/>
        <w:rPr>
          <w:rFonts w:ascii="Arial" w:hAnsi="Arial" w:cs="Arial"/>
          <w:sz w:val="20"/>
          <w:szCs w:val="20"/>
          <w:lang w:val="es-MX"/>
        </w:rPr>
      </w:pPr>
    </w:p>
    <w:p w:rsidR="00F80C5D" w:rsidRPr="00F80C5D" w:rsidRDefault="00F80C5D" w:rsidP="00F80C5D">
      <w:pPr>
        <w:spacing w:line="0" w:lineRule="atLeast"/>
        <w:ind w:left="1416"/>
        <w:contextualSpacing/>
        <w:jc w:val="both"/>
        <w:rPr>
          <w:rFonts w:ascii="Tahoma" w:hAnsi="Tahoma" w:cs="Tahoma"/>
          <w:sz w:val="20"/>
          <w:szCs w:val="20"/>
        </w:rPr>
      </w:pPr>
      <w:r>
        <w:rPr>
          <w:rFonts w:ascii="Arial" w:hAnsi="Arial" w:cs="Arial"/>
          <w:sz w:val="20"/>
          <w:szCs w:val="20"/>
          <w:lang w:val="es-MX"/>
        </w:rPr>
        <w:t>-</w:t>
      </w:r>
      <w:r w:rsidRPr="00DB0934">
        <w:rPr>
          <w:rFonts w:ascii="Arial" w:hAnsi="Arial" w:cs="Arial"/>
          <w:sz w:val="20"/>
          <w:szCs w:val="20"/>
          <w:lang w:val="es-MX"/>
        </w:rPr>
        <w:t>Incluir validación para que un pedido siempre incluya fundamento legal correspondiente al tipo de adjudicación y que en la impresión del pedido se liste antes del fundamento 47</w:t>
      </w:r>
      <w:r>
        <w:rPr>
          <w:rFonts w:ascii="Arial" w:hAnsi="Arial" w:cs="Arial"/>
          <w:sz w:val="20"/>
          <w:szCs w:val="20"/>
          <w:lang w:val="es-MX"/>
        </w:rPr>
        <w:t>.</w:t>
      </w:r>
    </w:p>
    <w:p w:rsidR="00F80C5D" w:rsidRDefault="00F80C5D" w:rsidP="00F80C5D">
      <w:pPr>
        <w:spacing w:line="0" w:lineRule="atLeast"/>
        <w:contextualSpacing/>
        <w:jc w:val="both"/>
        <w:rPr>
          <w:rFonts w:ascii="Tahoma" w:hAnsi="Tahoma" w:cs="Tahoma"/>
          <w:sz w:val="20"/>
          <w:szCs w:val="20"/>
        </w:rPr>
      </w:pPr>
    </w:p>
    <w:p w:rsidR="00F80C5D" w:rsidRDefault="00F80C5D" w:rsidP="00F80C5D">
      <w:pPr>
        <w:spacing w:line="0" w:lineRule="atLeast"/>
        <w:contextualSpacing/>
        <w:jc w:val="both"/>
        <w:rPr>
          <w:rFonts w:ascii="Arial" w:hAnsi="Arial" w:cs="Arial"/>
          <w:sz w:val="20"/>
          <w:szCs w:val="20"/>
          <w:lang w:val="es-MX"/>
        </w:rPr>
      </w:pPr>
      <w:r w:rsidRPr="00DB0934">
        <w:rPr>
          <w:rFonts w:ascii="Arial" w:hAnsi="Arial" w:cs="Arial"/>
          <w:sz w:val="20"/>
          <w:szCs w:val="20"/>
          <w:lang w:val="es-MX"/>
        </w:rPr>
        <w:t>Subdirección de Medicina Interna</w:t>
      </w:r>
      <w:r>
        <w:rPr>
          <w:rFonts w:ascii="Arial" w:hAnsi="Arial" w:cs="Arial"/>
          <w:sz w:val="20"/>
          <w:szCs w:val="20"/>
          <w:lang w:val="es-MX"/>
        </w:rPr>
        <w:t>:</w:t>
      </w:r>
    </w:p>
    <w:p w:rsidR="00F80C5D" w:rsidRDefault="00F80C5D" w:rsidP="00F80C5D">
      <w:pPr>
        <w:spacing w:line="0" w:lineRule="atLeast"/>
        <w:contextualSpacing/>
        <w:jc w:val="both"/>
        <w:rPr>
          <w:rFonts w:ascii="Arial" w:hAnsi="Arial" w:cs="Arial"/>
          <w:sz w:val="20"/>
          <w:szCs w:val="20"/>
          <w:lang w:val="es-MX"/>
        </w:rPr>
      </w:pPr>
    </w:p>
    <w:p w:rsidR="00F80C5D" w:rsidRDefault="00F80C5D" w:rsidP="00F80C5D">
      <w:pPr>
        <w:spacing w:line="0" w:lineRule="atLeast"/>
        <w:contextualSpacing/>
        <w:jc w:val="both"/>
        <w:rPr>
          <w:rFonts w:ascii="Arial" w:hAnsi="Arial" w:cs="Arial"/>
          <w:sz w:val="20"/>
          <w:szCs w:val="20"/>
          <w:lang w:val="es-MX"/>
        </w:rPr>
      </w:pPr>
      <w:r>
        <w:rPr>
          <w:rFonts w:ascii="Arial" w:hAnsi="Arial" w:cs="Arial"/>
          <w:sz w:val="20"/>
          <w:szCs w:val="20"/>
          <w:lang w:val="es-MX"/>
        </w:rPr>
        <w:tab/>
      </w:r>
      <w:r>
        <w:rPr>
          <w:rFonts w:ascii="Arial" w:hAnsi="Arial" w:cs="Arial"/>
          <w:sz w:val="20"/>
          <w:szCs w:val="20"/>
          <w:lang w:val="es-MX"/>
        </w:rPr>
        <w:tab/>
        <w:t>Farmacia:</w:t>
      </w:r>
    </w:p>
    <w:p w:rsidR="00F80C5D" w:rsidRDefault="00F80C5D" w:rsidP="00F80C5D">
      <w:pPr>
        <w:spacing w:before="240"/>
        <w:ind w:left="1416"/>
        <w:jc w:val="both"/>
        <w:rPr>
          <w:rFonts w:ascii="Arial" w:hAnsi="Arial" w:cs="Arial"/>
          <w:sz w:val="20"/>
          <w:szCs w:val="20"/>
          <w:lang w:val="es-MX"/>
        </w:rPr>
      </w:pPr>
      <w:r>
        <w:rPr>
          <w:rFonts w:ascii="Arial" w:hAnsi="Arial" w:cs="Arial"/>
          <w:sz w:val="20"/>
          <w:szCs w:val="20"/>
          <w:lang w:val="es-MX"/>
        </w:rPr>
        <w:t>-</w:t>
      </w:r>
      <w:r w:rsidRPr="00DB0934">
        <w:rPr>
          <w:rFonts w:ascii="Arial" w:hAnsi="Arial" w:cs="Arial"/>
          <w:sz w:val="20"/>
          <w:szCs w:val="20"/>
          <w:lang w:val="es-MX"/>
        </w:rPr>
        <w:t xml:space="preserve">Con la finalidad de poder cobrar al paciente hospitalizado únicamente el medicamento que se le va a suministrar, es necesario habilitar un módulo en Farmacia para el cobro de dichos medicamentos con conversión de dosis comercial a dosis mínima, de acuerdo al nuevo modelo operativo que se defina para el área de Central de Mezclas. </w:t>
      </w:r>
    </w:p>
    <w:p w:rsidR="00F80C5D" w:rsidRPr="001F6626" w:rsidRDefault="00F80C5D" w:rsidP="008429D1">
      <w:pPr>
        <w:spacing w:before="240"/>
        <w:ind w:left="1416"/>
        <w:jc w:val="both"/>
        <w:rPr>
          <w:rFonts w:ascii="Arial" w:hAnsi="Arial" w:cs="Arial"/>
          <w:sz w:val="20"/>
          <w:szCs w:val="20"/>
          <w:lang w:val="es-MX"/>
        </w:rPr>
      </w:pPr>
      <w:r w:rsidRPr="001F6626">
        <w:rPr>
          <w:rFonts w:ascii="Arial" w:hAnsi="Arial" w:cs="Arial"/>
          <w:sz w:val="20"/>
          <w:szCs w:val="20"/>
          <w:lang w:val="es-MX"/>
        </w:rPr>
        <w:lastRenderedPageBreak/>
        <w:t xml:space="preserve">Habilitar un nuevo almacén para el control del inventario de la Central de mezclas que se pueda manejar con dosis mínimas. </w:t>
      </w:r>
    </w:p>
    <w:p w:rsidR="00F80C5D" w:rsidRPr="001F6626" w:rsidRDefault="00F80C5D" w:rsidP="008429D1">
      <w:pPr>
        <w:spacing w:before="240"/>
        <w:ind w:left="1416"/>
        <w:jc w:val="both"/>
        <w:rPr>
          <w:rFonts w:ascii="Arial" w:hAnsi="Arial" w:cs="Arial"/>
          <w:sz w:val="20"/>
          <w:szCs w:val="20"/>
          <w:lang w:val="es-MX"/>
        </w:rPr>
      </w:pPr>
      <w:r w:rsidRPr="001F6626">
        <w:rPr>
          <w:rFonts w:ascii="Arial" w:hAnsi="Arial" w:cs="Arial"/>
          <w:sz w:val="20"/>
          <w:szCs w:val="20"/>
          <w:lang w:val="es-MX"/>
        </w:rPr>
        <w:t>-Para las entradas de medicamento se debe considerar una funcionalidad de traspaso entre almacén de Farmacia ventanilla a dosis comercial y entrada a Central de mezclas en dosis mínima.</w:t>
      </w:r>
    </w:p>
    <w:p w:rsidR="00F80C5D" w:rsidRDefault="00F80C5D" w:rsidP="008429D1">
      <w:pPr>
        <w:spacing w:before="240"/>
        <w:ind w:left="1416"/>
        <w:jc w:val="both"/>
        <w:rPr>
          <w:rFonts w:ascii="Arial" w:hAnsi="Arial" w:cs="Arial"/>
          <w:sz w:val="20"/>
          <w:szCs w:val="20"/>
          <w:lang w:val="es-MX"/>
        </w:rPr>
      </w:pPr>
      <w:r w:rsidRPr="001F6626">
        <w:rPr>
          <w:rFonts w:ascii="Arial" w:hAnsi="Arial" w:cs="Arial"/>
          <w:sz w:val="20"/>
          <w:szCs w:val="20"/>
          <w:lang w:val="es-MX"/>
        </w:rPr>
        <w:t>- Para las salidas se considerarían los tickets con cobro unitario o la dosis mínima definida que ya fueron pagados y/o cargados al estado de cuenta del paciente.</w:t>
      </w:r>
    </w:p>
    <w:p w:rsidR="00F80C5D" w:rsidRDefault="00F80C5D" w:rsidP="008429D1">
      <w:pPr>
        <w:spacing w:before="240"/>
        <w:ind w:left="1416"/>
        <w:jc w:val="both"/>
        <w:rPr>
          <w:rFonts w:ascii="Arial" w:hAnsi="Arial" w:cs="Arial"/>
          <w:sz w:val="20"/>
          <w:szCs w:val="20"/>
          <w:lang w:val="es-MX"/>
        </w:rPr>
      </w:pPr>
      <w:r>
        <w:rPr>
          <w:rFonts w:ascii="Arial" w:hAnsi="Arial" w:cs="Arial"/>
          <w:sz w:val="20"/>
          <w:szCs w:val="20"/>
          <w:lang w:val="es-MX"/>
        </w:rPr>
        <w:t>-</w:t>
      </w:r>
      <w:r w:rsidRPr="001F6626">
        <w:rPr>
          <w:rFonts w:ascii="Arial" w:hAnsi="Arial" w:cs="Arial"/>
          <w:sz w:val="20"/>
          <w:szCs w:val="20"/>
          <w:lang w:val="es-MX"/>
        </w:rPr>
        <w:t xml:space="preserve"> Incluir la funcionalidad para llevar el control del inventario del ROBOT que se encuentra en la Nueva Torre Hospitalaria en el SIGA-F con el fin de poder conciliar con la información que presenta el robot.</w:t>
      </w:r>
    </w:p>
    <w:p w:rsidR="00F80C5D" w:rsidRDefault="00F80C5D" w:rsidP="008429D1">
      <w:pPr>
        <w:spacing w:before="240"/>
        <w:ind w:left="1416"/>
        <w:jc w:val="both"/>
        <w:rPr>
          <w:rFonts w:ascii="Arial" w:hAnsi="Arial" w:cs="Arial"/>
          <w:sz w:val="20"/>
          <w:szCs w:val="20"/>
          <w:lang w:val="es-MX"/>
        </w:rPr>
      </w:pPr>
      <w:r>
        <w:rPr>
          <w:rFonts w:ascii="Arial" w:hAnsi="Arial" w:cs="Arial"/>
          <w:sz w:val="20"/>
          <w:szCs w:val="20"/>
          <w:lang w:val="es-MX"/>
        </w:rPr>
        <w:t>-</w:t>
      </w:r>
      <w:r w:rsidRPr="001F6626">
        <w:rPr>
          <w:rFonts w:ascii="Arial" w:hAnsi="Arial" w:cs="Arial"/>
          <w:sz w:val="20"/>
          <w:szCs w:val="20"/>
          <w:lang w:val="es-MX"/>
        </w:rPr>
        <w:t>Llevar el control de los medicamentos autorizados a ciertos pacientes para los protocolos patrocinados por un laboratorio u otra  institución (independiente de los protocolos que maneja UCRE). Se manejaría como el esquema de Seguro Popular o Programas de apoyo (COE/CAPM) en donde se daría de alta el protocolo y la Farmacia podría asignar el cuadro básico autorizado. Desde Sistema INCAN se recibe la información de los pacientes que pertenecen a estos protocolos, de tal forma que sólo a estos pacientes se les puede entregar estos medicamentos.</w:t>
      </w:r>
    </w:p>
    <w:p w:rsidR="00F80C5D" w:rsidRDefault="00F80C5D" w:rsidP="008429D1">
      <w:pPr>
        <w:spacing w:before="240"/>
        <w:ind w:left="1416"/>
        <w:jc w:val="both"/>
        <w:rPr>
          <w:rFonts w:ascii="Arial" w:hAnsi="Arial" w:cs="Arial"/>
          <w:sz w:val="20"/>
          <w:szCs w:val="20"/>
          <w:lang w:val="es-MX"/>
        </w:rPr>
      </w:pPr>
      <w:r>
        <w:rPr>
          <w:rFonts w:ascii="Arial" w:hAnsi="Arial" w:cs="Arial"/>
          <w:sz w:val="20"/>
          <w:szCs w:val="20"/>
          <w:lang w:val="es-MX"/>
        </w:rPr>
        <w:t>-</w:t>
      </w:r>
      <w:r w:rsidRPr="001F6626">
        <w:rPr>
          <w:rFonts w:ascii="Arial" w:hAnsi="Arial" w:cs="Arial"/>
          <w:sz w:val="20"/>
          <w:szCs w:val="20"/>
          <w:lang w:val="es-MX"/>
        </w:rPr>
        <w:t>Implementar un almacén para la Farmacia de la Nueva Torre de Hospitalización que sustituya el modelo de ubicaciones de Farmacia Ventanilla. Considerar impactos en aplicación de ventanilla, interfaces con receta electrónica, ajustes en reportes y al proceso de generación de las órdenes de surtimiento a partir de los consumos realizados en ambas farmacias.</w:t>
      </w:r>
    </w:p>
    <w:p w:rsidR="00F80C5D" w:rsidRDefault="00F80C5D" w:rsidP="008429D1">
      <w:pPr>
        <w:spacing w:before="240"/>
        <w:ind w:left="1416"/>
        <w:jc w:val="both"/>
        <w:rPr>
          <w:rFonts w:ascii="Arial" w:hAnsi="Arial" w:cs="Arial"/>
          <w:sz w:val="20"/>
          <w:szCs w:val="20"/>
          <w:lang w:val="es-MX"/>
        </w:rPr>
      </w:pPr>
    </w:p>
    <w:p w:rsidR="00F80C5D" w:rsidRDefault="00F80C5D" w:rsidP="008429D1">
      <w:pPr>
        <w:spacing w:line="0" w:lineRule="atLeast"/>
        <w:ind w:left="1416"/>
        <w:contextualSpacing/>
        <w:jc w:val="both"/>
        <w:rPr>
          <w:rFonts w:ascii="Arial" w:hAnsi="Arial" w:cs="Arial"/>
          <w:sz w:val="20"/>
          <w:szCs w:val="20"/>
          <w:lang w:val="es-MX"/>
        </w:rPr>
      </w:pPr>
      <w:r>
        <w:rPr>
          <w:rFonts w:ascii="Arial" w:hAnsi="Arial" w:cs="Arial"/>
          <w:sz w:val="20"/>
          <w:szCs w:val="20"/>
          <w:lang w:val="es-MX"/>
        </w:rPr>
        <w:t>-</w:t>
      </w:r>
      <w:r w:rsidRPr="001F6626">
        <w:rPr>
          <w:rFonts w:ascii="Arial" w:hAnsi="Arial" w:cs="Arial"/>
          <w:sz w:val="20"/>
          <w:szCs w:val="20"/>
          <w:lang w:val="es-MX"/>
        </w:rPr>
        <w:t>Crear un reporte de los traspasos entre las ubicaciones de las farmacias de San Fernando 22 y  la NTH.</w:t>
      </w:r>
      <w:r>
        <w:rPr>
          <w:rFonts w:ascii="Arial" w:hAnsi="Arial" w:cs="Arial"/>
          <w:sz w:val="20"/>
          <w:szCs w:val="20"/>
          <w:lang w:val="es-MX"/>
        </w:rPr>
        <w:tab/>
      </w:r>
    </w:p>
    <w:p w:rsidR="00F80C5D" w:rsidRDefault="00F80C5D" w:rsidP="00F80C5D">
      <w:pPr>
        <w:spacing w:line="0" w:lineRule="atLeast"/>
        <w:contextualSpacing/>
        <w:jc w:val="both"/>
        <w:rPr>
          <w:rFonts w:ascii="Arial" w:hAnsi="Arial" w:cs="Arial"/>
          <w:sz w:val="20"/>
          <w:szCs w:val="20"/>
          <w:lang w:val="es-MX"/>
        </w:rPr>
      </w:pPr>
    </w:p>
    <w:p w:rsidR="00F80C5D" w:rsidRDefault="00F80C5D" w:rsidP="00F80C5D">
      <w:pPr>
        <w:spacing w:line="0" w:lineRule="atLeast"/>
        <w:contextualSpacing/>
        <w:jc w:val="both"/>
        <w:rPr>
          <w:rFonts w:ascii="Arial" w:hAnsi="Arial" w:cs="Arial"/>
          <w:sz w:val="20"/>
          <w:szCs w:val="20"/>
          <w:lang w:val="es-MX"/>
        </w:rPr>
      </w:pPr>
      <w:r>
        <w:rPr>
          <w:rFonts w:ascii="Arial" w:hAnsi="Arial" w:cs="Arial"/>
          <w:sz w:val="20"/>
          <w:szCs w:val="20"/>
          <w:lang w:val="es-MX"/>
        </w:rPr>
        <w:t>Subdirección de Investigación:</w:t>
      </w:r>
    </w:p>
    <w:p w:rsidR="00F80C5D" w:rsidRDefault="00F80C5D" w:rsidP="00F80C5D">
      <w:pPr>
        <w:spacing w:line="0" w:lineRule="atLeast"/>
        <w:contextualSpacing/>
        <w:jc w:val="both"/>
        <w:rPr>
          <w:rFonts w:ascii="Arial" w:hAnsi="Arial" w:cs="Arial"/>
          <w:sz w:val="20"/>
          <w:szCs w:val="20"/>
          <w:lang w:val="es-MX"/>
        </w:rPr>
      </w:pPr>
      <w:r>
        <w:rPr>
          <w:rFonts w:ascii="Arial" w:hAnsi="Arial" w:cs="Arial"/>
          <w:sz w:val="20"/>
          <w:szCs w:val="20"/>
          <w:lang w:val="es-MX"/>
        </w:rPr>
        <w:tab/>
        <w:t>UCRE:</w:t>
      </w:r>
    </w:p>
    <w:p w:rsidR="00F80C5D" w:rsidRPr="0060012F" w:rsidRDefault="00F80C5D" w:rsidP="00F80C5D">
      <w:pPr>
        <w:spacing w:before="240"/>
        <w:jc w:val="both"/>
        <w:rPr>
          <w:rFonts w:ascii="Arial" w:hAnsi="Arial" w:cs="Arial"/>
          <w:sz w:val="20"/>
          <w:szCs w:val="20"/>
          <w:lang w:val="es-MX"/>
        </w:rPr>
      </w:pPr>
      <w:r>
        <w:rPr>
          <w:rFonts w:ascii="Arial" w:hAnsi="Arial" w:cs="Arial"/>
          <w:sz w:val="20"/>
          <w:szCs w:val="20"/>
          <w:lang w:val="es-MX"/>
        </w:rPr>
        <w:tab/>
      </w:r>
      <w:r>
        <w:rPr>
          <w:rFonts w:ascii="Arial" w:hAnsi="Arial" w:cs="Arial"/>
          <w:sz w:val="20"/>
          <w:szCs w:val="20"/>
          <w:lang w:val="es-MX"/>
        </w:rPr>
        <w:tab/>
      </w:r>
      <w:r w:rsidRPr="0060012F">
        <w:rPr>
          <w:rFonts w:ascii="Arial" w:hAnsi="Arial" w:cs="Arial"/>
          <w:sz w:val="20"/>
          <w:szCs w:val="20"/>
          <w:lang w:val="es-MX"/>
        </w:rPr>
        <w:t xml:space="preserve">Generación automática de pólizas de provisión: </w:t>
      </w:r>
    </w:p>
    <w:p w:rsidR="00F80C5D" w:rsidRPr="0060012F" w:rsidRDefault="00F80C5D" w:rsidP="008429D1">
      <w:pPr>
        <w:spacing w:before="240"/>
        <w:ind w:left="1416"/>
        <w:jc w:val="both"/>
        <w:rPr>
          <w:rFonts w:ascii="Arial" w:hAnsi="Arial" w:cs="Arial"/>
          <w:sz w:val="20"/>
          <w:szCs w:val="20"/>
          <w:lang w:val="es-MX"/>
        </w:rPr>
      </w:pPr>
      <w:r>
        <w:rPr>
          <w:rFonts w:ascii="Arial" w:hAnsi="Arial" w:cs="Arial"/>
          <w:sz w:val="20"/>
          <w:szCs w:val="20"/>
          <w:lang w:val="es-MX"/>
        </w:rPr>
        <w:t>-</w:t>
      </w:r>
      <w:r w:rsidRPr="0060012F">
        <w:rPr>
          <w:rFonts w:ascii="Arial" w:hAnsi="Arial" w:cs="Arial"/>
          <w:sz w:val="20"/>
          <w:szCs w:val="20"/>
          <w:lang w:val="es-MX"/>
        </w:rPr>
        <w:t>Adquisiciones de activo fijo (entradas de bienes muebles)</w:t>
      </w:r>
    </w:p>
    <w:p w:rsidR="00F80C5D" w:rsidRPr="0060012F" w:rsidRDefault="00F80C5D" w:rsidP="008429D1">
      <w:pPr>
        <w:spacing w:before="240"/>
        <w:ind w:left="1416"/>
        <w:jc w:val="both"/>
        <w:rPr>
          <w:rFonts w:ascii="Arial" w:hAnsi="Arial" w:cs="Arial"/>
          <w:sz w:val="20"/>
          <w:szCs w:val="20"/>
          <w:lang w:val="es-MX"/>
        </w:rPr>
      </w:pPr>
      <w:r>
        <w:rPr>
          <w:rFonts w:ascii="Arial" w:hAnsi="Arial" w:cs="Arial"/>
          <w:sz w:val="20"/>
          <w:szCs w:val="20"/>
          <w:lang w:val="es-MX"/>
        </w:rPr>
        <w:t>-</w:t>
      </w:r>
      <w:r w:rsidRPr="0060012F">
        <w:rPr>
          <w:rFonts w:ascii="Arial" w:hAnsi="Arial" w:cs="Arial"/>
          <w:sz w:val="20"/>
          <w:szCs w:val="20"/>
          <w:lang w:val="es-MX"/>
        </w:rPr>
        <w:t xml:space="preserve">Adquisiciones de material y suministro para laboratorio, sustancias químicas, etc. a través del almacén de Área médica así como publicaciones y otros del almacén de Administración </w:t>
      </w:r>
    </w:p>
    <w:p w:rsidR="00F80C5D" w:rsidRPr="0060012F" w:rsidRDefault="00F80C5D" w:rsidP="008429D1">
      <w:pPr>
        <w:spacing w:before="240"/>
        <w:ind w:left="708" w:firstLine="708"/>
        <w:jc w:val="both"/>
        <w:rPr>
          <w:rFonts w:ascii="Arial" w:hAnsi="Arial" w:cs="Arial"/>
          <w:sz w:val="20"/>
          <w:szCs w:val="20"/>
          <w:lang w:val="es-MX"/>
        </w:rPr>
      </w:pPr>
      <w:r>
        <w:rPr>
          <w:rFonts w:ascii="Arial" w:hAnsi="Arial" w:cs="Arial"/>
          <w:sz w:val="20"/>
          <w:szCs w:val="20"/>
          <w:lang w:val="es-MX"/>
        </w:rPr>
        <w:t>-</w:t>
      </w:r>
      <w:r w:rsidRPr="0060012F">
        <w:rPr>
          <w:rFonts w:ascii="Arial" w:hAnsi="Arial" w:cs="Arial"/>
          <w:sz w:val="20"/>
          <w:szCs w:val="20"/>
          <w:lang w:val="es-MX"/>
        </w:rPr>
        <w:t>Medicamentos surtidos en farmacia con cargo a protocolos</w:t>
      </w:r>
    </w:p>
    <w:p w:rsidR="00F80C5D" w:rsidRDefault="00F80C5D" w:rsidP="008429D1">
      <w:pPr>
        <w:spacing w:before="240"/>
        <w:ind w:left="1416"/>
        <w:jc w:val="both"/>
        <w:rPr>
          <w:rFonts w:ascii="Arial" w:hAnsi="Arial" w:cs="Arial"/>
          <w:sz w:val="20"/>
          <w:szCs w:val="20"/>
          <w:lang w:val="es-MX"/>
        </w:rPr>
      </w:pPr>
      <w:r>
        <w:rPr>
          <w:rFonts w:ascii="Arial" w:hAnsi="Arial" w:cs="Arial"/>
          <w:sz w:val="20"/>
          <w:szCs w:val="20"/>
          <w:lang w:val="es-MX"/>
        </w:rPr>
        <w:t>-</w:t>
      </w:r>
      <w:r w:rsidRPr="0060012F">
        <w:rPr>
          <w:rFonts w:ascii="Arial" w:hAnsi="Arial" w:cs="Arial"/>
          <w:sz w:val="20"/>
          <w:szCs w:val="20"/>
          <w:lang w:val="es-MX"/>
        </w:rPr>
        <w:t>Honorarios profesionales</w:t>
      </w:r>
    </w:p>
    <w:p w:rsidR="00F80C5D" w:rsidRPr="0060012F" w:rsidRDefault="00F80C5D" w:rsidP="008429D1">
      <w:pPr>
        <w:spacing w:before="240"/>
        <w:ind w:left="708" w:firstLine="708"/>
        <w:jc w:val="both"/>
        <w:rPr>
          <w:rFonts w:ascii="Arial" w:hAnsi="Arial" w:cs="Arial"/>
          <w:sz w:val="20"/>
          <w:szCs w:val="20"/>
          <w:lang w:val="es-MX"/>
        </w:rPr>
      </w:pPr>
      <w:r w:rsidRPr="0060012F">
        <w:rPr>
          <w:rFonts w:ascii="Arial" w:hAnsi="Arial" w:cs="Arial"/>
          <w:sz w:val="20"/>
          <w:szCs w:val="20"/>
          <w:lang w:val="es-MX"/>
        </w:rPr>
        <w:t xml:space="preserve">Generación automática de pólizas de pago: </w:t>
      </w:r>
    </w:p>
    <w:p w:rsidR="00F80C5D" w:rsidRPr="0060012F" w:rsidRDefault="00F80C5D" w:rsidP="008429D1">
      <w:pPr>
        <w:spacing w:before="240"/>
        <w:ind w:left="1416"/>
        <w:jc w:val="both"/>
        <w:rPr>
          <w:rFonts w:ascii="Arial" w:hAnsi="Arial" w:cs="Arial"/>
          <w:sz w:val="20"/>
          <w:szCs w:val="20"/>
          <w:lang w:val="es-MX"/>
        </w:rPr>
      </w:pPr>
      <w:r>
        <w:rPr>
          <w:rFonts w:ascii="Arial" w:hAnsi="Arial" w:cs="Arial"/>
          <w:sz w:val="20"/>
          <w:szCs w:val="20"/>
          <w:lang w:val="es-MX"/>
        </w:rPr>
        <w:t>-</w:t>
      </w:r>
      <w:r w:rsidRPr="0060012F">
        <w:rPr>
          <w:rFonts w:ascii="Arial" w:hAnsi="Arial" w:cs="Arial"/>
          <w:sz w:val="20"/>
          <w:szCs w:val="20"/>
          <w:lang w:val="es-MX"/>
        </w:rPr>
        <w:t>Por Transferencia electrónica</w:t>
      </w:r>
    </w:p>
    <w:p w:rsidR="00F80C5D" w:rsidRDefault="00F80C5D" w:rsidP="008429D1">
      <w:pPr>
        <w:spacing w:before="240"/>
        <w:ind w:left="1416"/>
        <w:jc w:val="both"/>
        <w:rPr>
          <w:rFonts w:ascii="Arial" w:hAnsi="Arial" w:cs="Arial"/>
          <w:sz w:val="20"/>
          <w:szCs w:val="20"/>
          <w:lang w:val="es-MX"/>
        </w:rPr>
      </w:pPr>
      <w:r>
        <w:rPr>
          <w:rFonts w:ascii="Arial" w:hAnsi="Arial" w:cs="Arial"/>
          <w:sz w:val="20"/>
          <w:szCs w:val="20"/>
          <w:lang w:val="es-MX"/>
        </w:rPr>
        <w:t>-</w:t>
      </w:r>
      <w:r w:rsidRPr="0060012F">
        <w:rPr>
          <w:rFonts w:ascii="Arial" w:hAnsi="Arial" w:cs="Arial"/>
          <w:sz w:val="20"/>
          <w:szCs w:val="20"/>
          <w:lang w:val="es-MX"/>
        </w:rPr>
        <w:t>Por cheque</w:t>
      </w:r>
    </w:p>
    <w:p w:rsidR="00F80C5D" w:rsidRDefault="00F80C5D" w:rsidP="008429D1">
      <w:pPr>
        <w:spacing w:before="240"/>
        <w:ind w:left="1416"/>
        <w:jc w:val="both"/>
        <w:rPr>
          <w:rFonts w:ascii="Arial" w:hAnsi="Arial" w:cs="Arial"/>
          <w:sz w:val="20"/>
          <w:szCs w:val="20"/>
          <w:lang w:val="es-MX"/>
        </w:rPr>
      </w:pPr>
      <w:r w:rsidRPr="0060012F">
        <w:rPr>
          <w:rFonts w:ascii="Arial" w:hAnsi="Arial" w:cs="Arial"/>
          <w:sz w:val="20"/>
          <w:szCs w:val="20"/>
          <w:lang w:val="es-MX"/>
        </w:rPr>
        <w:t>Reporte de Estado de Resultados de Ingresos y Egresos en el que se pueda visualizar en que partidas y capítulos se erogaron los gastos de recursos de:</w:t>
      </w:r>
    </w:p>
    <w:p w:rsidR="00F80C5D" w:rsidRDefault="00F80C5D" w:rsidP="008429D1">
      <w:pPr>
        <w:spacing w:before="240"/>
        <w:ind w:left="1416"/>
        <w:jc w:val="both"/>
        <w:rPr>
          <w:rFonts w:ascii="Arial" w:hAnsi="Arial" w:cs="Arial"/>
          <w:sz w:val="20"/>
          <w:szCs w:val="20"/>
          <w:lang w:val="es-MX"/>
        </w:rPr>
      </w:pPr>
      <w:r>
        <w:rPr>
          <w:rFonts w:ascii="Arial" w:hAnsi="Arial" w:cs="Arial"/>
          <w:sz w:val="20"/>
          <w:szCs w:val="20"/>
          <w:lang w:val="es-MX"/>
        </w:rPr>
        <w:lastRenderedPageBreak/>
        <w:t>-</w:t>
      </w:r>
      <w:r>
        <w:t xml:space="preserve"> </w:t>
      </w:r>
      <w:r w:rsidRPr="0060012F">
        <w:rPr>
          <w:rFonts w:ascii="Arial" w:hAnsi="Arial" w:cs="Arial"/>
          <w:sz w:val="20"/>
          <w:szCs w:val="20"/>
          <w:lang w:val="es-MX"/>
        </w:rPr>
        <w:t>Reportes de disponibilidad de recursos</w:t>
      </w:r>
    </w:p>
    <w:p w:rsidR="00F80C5D" w:rsidRPr="001F6626" w:rsidRDefault="00F80C5D" w:rsidP="008429D1">
      <w:pPr>
        <w:spacing w:before="240"/>
        <w:ind w:left="1416"/>
        <w:jc w:val="both"/>
        <w:rPr>
          <w:rFonts w:ascii="Arial" w:hAnsi="Arial" w:cs="Arial"/>
          <w:sz w:val="20"/>
          <w:szCs w:val="20"/>
          <w:lang w:val="es-MX"/>
        </w:rPr>
      </w:pPr>
      <w:r w:rsidRPr="001F6626">
        <w:rPr>
          <w:rFonts w:ascii="Arial" w:hAnsi="Arial" w:cs="Arial"/>
          <w:sz w:val="20"/>
          <w:szCs w:val="20"/>
          <w:lang w:val="es-MX"/>
        </w:rPr>
        <w:t>Eventos Adversos:</w:t>
      </w:r>
    </w:p>
    <w:p w:rsidR="00F80C5D" w:rsidRPr="001F6626" w:rsidRDefault="00F80C5D" w:rsidP="008429D1">
      <w:pPr>
        <w:spacing w:before="240"/>
        <w:ind w:left="1416"/>
        <w:jc w:val="both"/>
        <w:rPr>
          <w:rFonts w:ascii="Arial" w:hAnsi="Arial" w:cs="Arial"/>
          <w:sz w:val="20"/>
          <w:szCs w:val="20"/>
          <w:lang w:val="es-MX"/>
        </w:rPr>
      </w:pPr>
      <w:r w:rsidRPr="001F6626">
        <w:rPr>
          <w:rFonts w:ascii="Arial" w:hAnsi="Arial" w:cs="Arial"/>
          <w:sz w:val="20"/>
          <w:szCs w:val="20"/>
          <w:lang w:val="es-MX"/>
        </w:rPr>
        <w:t xml:space="preserve">- Interfaz con sistema INCAN para recibir mensualmente los cargos realizados a pacientes de protocolo por eventos adversos. </w:t>
      </w:r>
    </w:p>
    <w:p w:rsidR="00F80C5D" w:rsidRPr="001F6626" w:rsidRDefault="00F80C5D" w:rsidP="008429D1">
      <w:pPr>
        <w:spacing w:before="240"/>
        <w:ind w:left="1416"/>
        <w:jc w:val="both"/>
        <w:rPr>
          <w:rFonts w:ascii="Arial" w:hAnsi="Arial" w:cs="Arial"/>
          <w:sz w:val="20"/>
          <w:szCs w:val="20"/>
          <w:lang w:val="es-MX"/>
        </w:rPr>
      </w:pPr>
      <w:r w:rsidRPr="001F6626">
        <w:rPr>
          <w:rFonts w:ascii="Arial" w:hAnsi="Arial" w:cs="Arial"/>
          <w:sz w:val="20"/>
          <w:szCs w:val="20"/>
          <w:lang w:val="es-MX"/>
        </w:rPr>
        <w:t xml:space="preserve">- A partir de éstos, obtener un reporte con los costos de esos cargos en dos niveles (generalmente KS, 6, aunque pueden llegar a requerirlos para niveles 3 y 6). El  costo se obtiene a partir del catálogo de cuotas de recuperación autorizado por la SHCP y en el caso de medicamentos y materiales del costo que se maneje en Almacenes. </w:t>
      </w:r>
    </w:p>
    <w:p w:rsidR="00F80C5D" w:rsidRPr="001F6626" w:rsidRDefault="00F80C5D" w:rsidP="008429D1">
      <w:pPr>
        <w:spacing w:before="240"/>
        <w:ind w:left="1416"/>
        <w:jc w:val="both"/>
        <w:rPr>
          <w:rFonts w:ascii="Arial" w:hAnsi="Arial" w:cs="Arial"/>
          <w:sz w:val="20"/>
          <w:szCs w:val="20"/>
          <w:lang w:val="es-MX"/>
        </w:rPr>
      </w:pPr>
      <w:r w:rsidRPr="001F6626">
        <w:rPr>
          <w:rFonts w:ascii="Arial" w:hAnsi="Arial" w:cs="Arial"/>
          <w:sz w:val="20"/>
          <w:szCs w:val="20"/>
          <w:lang w:val="es-MX"/>
        </w:rPr>
        <w:t xml:space="preserve">- Se debe tener la posibilidad de marcar los cargos que ya están en trámite de cobro a los patrocinadores, relacionados por protocolo y recibo de aportación. </w:t>
      </w:r>
    </w:p>
    <w:p w:rsidR="00F80C5D" w:rsidRPr="001F6626" w:rsidRDefault="00F80C5D" w:rsidP="008429D1">
      <w:pPr>
        <w:spacing w:before="240"/>
        <w:ind w:left="1416"/>
        <w:jc w:val="both"/>
        <w:rPr>
          <w:rFonts w:ascii="Arial" w:hAnsi="Arial" w:cs="Arial"/>
          <w:sz w:val="20"/>
          <w:szCs w:val="20"/>
          <w:lang w:val="es-MX"/>
        </w:rPr>
      </w:pPr>
      <w:r w:rsidRPr="001F6626">
        <w:rPr>
          <w:rFonts w:ascii="Arial" w:hAnsi="Arial" w:cs="Arial"/>
          <w:sz w:val="20"/>
          <w:szCs w:val="20"/>
          <w:lang w:val="es-MX"/>
        </w:rPr>
        <w:t xml:space="preserve">- Cuando se recibe el pago del patrocinador se registra en la Caja General y en ese momento los cargos se actualizan con estatus Pagado por protocolo. </w:t>
      </w:r>
    </w:p>
    <w:p w:rsidR="00F80C5D" w:rsidRPr="00CF5498" w:rsidRDefault="00F80C5D" w:rsidP="008429D1">
      <w:pPr>
        <w:spacing w:line="0" w:lineRule="atLeast"/>
        <w:ind w:left="1416"/>
        <w:contextualSpacing/>
        <w:jc w:val="both"/>
        <w:rPr>
          <w:rFonts w:ascii="Tahoma" w:hAnsi="Tahoma" w:cs="Tahoma"/>
          <w:sz w:val="20"/>
          <w:szCs w:val="20"/>
        </w:rPr>
      </w:pPr>
      <w:r w:rsidRPr="001F6626">
        <w:rPr>
          <w:rFonts w:ascii="Arial" w:hAnsi="Arial" w:cs="Arial"/>
          <w:sz w:val="20"/>
          <w:szCs w:val="20"/>
          <w:lang w:val="es-MX"/>
        </w:rPr>
        <w:t>- Finalmente, considerar interfaz para enviar relación de cargos pagados a Sistema INCAN con el fin de que sean actualizados en los estados de cuenta de los pacientes y ya no aparezcan como pendientes de pago.</w:t>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p>
    <w:p w:rsidR="00F80C5D" w:rsidRPr="004521FD" w:rsidRDefault="00F80C5D" w:rsidP="00F80C5D">
      <w:pPr>
        <w:ind w:left="708" w:hanging="708"/>
        <w:jc w:val="both"/>
        <w:rPr>
          <w:rFonts w:ascii="Tahoma" w:hAnsi="Tahoma" w:cs="Tahoma"/>
          <w:sz w:val="20"/>
          <w:szCs w:val="20"/>
        </w:rPr>
      </w:pPr>
    </w:p>
    <w:p w:rsidR="00F80C5D" w:rsidRPr="004521FD" w:rsidRDefault="00F80C5D" w:rsidP="00F80C5D">
      <w:pPr>
        <w:spacing w:line="276" w:lineRule="auto"/>
        <w:jc w:val="both"/>
        <w:rPr>
          <w:rFonts w:ascii="Tahoma" w:hAnsi="Tahoma" w:cs="Tahoma"/>
          <w:sz w:val="20"/>
          <w:szCs w:val="20"/>
        </w:rPr>
      </w:pPr>
      <w:r w:rsidRPr="004521FD">
        <w:rPr>
          <w:rFonts w:ascii="Tahoma" w:hAnsi="Tahoma" w:cs="Tahoma"/>
          <w:sz w:val="20"/>
          <w:szCs w:val="20"/>
        </w:rPr>
        <w:t>Agradezco de antemano la atención, y aprovecho la ocasión para enviarle un cordial saludo.</w:t>
      </w:r>
    </w:p>
    <w:p w:rsidR="00F80C5D" w:rsidRPr="004521FD" w:rsidRDefault="00F80C5D" w:rsidP="00F80C5D">
      <w:pPr>
        <w:jc w:val="both"/>
        <w:rPr>
          <w:rFonts w:ascii="Tahoma" w:hAnsi="Tahoma" w:cs="Tahoma"/>
          <w:sz w:val="20"/>
          <w:szCs w:val="20"/>
        </w:rPr>
      </w:pPr>
    </w:p>
    <w:p w:rsidR="00F80C5D" w:rsidRPr="004521FD" w:rsidRDefault="00F80C5D" w:rsidP="00F80C5D">
      <w:pPr>
        <w:jc w:val="both"/>
        <w:rPr>
          <w:rFonts w:ascii="Tahoma" w:hAnsi="Tahoma" w:cs="Tahoma"/>
          <w:sz w:val="20"/>
          <w:szCs w:val="20"/>
        </w:rPr>
      </w:pPr>
    </w:p>
    <w:p w:rsidR="00F80C5D" w:rsidRPr="004521FD" w:rsidRDefault="00F80C5D" w:rsidP="00F80C5D">
      <w:pPr>
        <w:jc w:val="both"/>
        <w:rPr>
          <w:rFonts w:ascii="Tahoma" w:hAnsi="Tahoma" w:cs="Tahoma"/>
          <w:sz w:val="20"/>
          <w:szCs w:val="20"/>
        </w:rPr>
      </w:pPr>
    </w:p>
    <w:p w:rsidR="00F80C5D" w:rsidRPr="004521FD" w:rsidRDefault="00F80C5D" w:rsidP="00F80C5D">
      <w:pPr>
        <w:jc w:val="both"/>
        <w:rPr>
          <w:rFonts w:ascii="Tahoma" w:hAnsi="Tahoma" w:cs="Tahoma"/>
          <w:sz w:val="20"/>
          <w:szCs w:val="20"/>
        </w:rPr>
      </w:pPr>
    </w:p>
    <w:p w:rsidR="00F80C5D" w:rsidRPr="004521FD" w:rsidRDefault="00F80C5D" w:rsidP="00F80C5D">
      <w:pPr>
        <w:jc w:val="center"/>
        <w:rPr>
          <w:rFonts w:ascii="Tahoma" w:hAnsi="Tahoma" w:cs="Tahoma"/>
          <w:sz w:val="20"/>
          <w:szCs w:val="20"/>
        </w:rPr>
      </w:pPr>
      <w:r w:rsidRPr="004521FD">
        <w:rPr>
          <w:rFonts w:ascii="Tahoma" w:hAnsi="Tahoma" w:cs="Tahoma"/>
          <w:sz w:val="20"/>
          <w:szCs w:val="20"/>
        </w:rPr>
        <w:t>Atentamente</w:t>
      </w:r>
    </w:p>
    <w:p w:rsidR="00F80C5D" w:rsidRPr="004521FD" w:rsidRDefault="00F80C5D" w:rsidP="00F80C5D">
      <w:pPr>
        <w:jc w:val="center"/>
        <w:rPr>
          <w:rFonts w:ascii="Tahoma" w:hAnsi="Tahoma" w:cs="Tahoma"/>
          <w:sz w:val="20"/>
          <w:szCs w:val="20"/>
        </w:rPr>
      </w:pPr>
    </w:p>
    <w:p w:rsidR="00F80C5D" w:rsidRPr="004521FD" w:rsidRDefault="00F80C5D" w:rsidP="00F80C5D">
      <w:pPr>
        <w:jc w:val="center"/>
        <w:rPr>
          <w:rFonts w:ascii="Tahoma" w:hAnsi="Tahoma" w:cs="Tahoma"/>
          <w:sz w:val="20"/>
          <w:szCs w:val="20"/>
        </w:rPr>
      </w:pPr>
    </w:p>
    <w:p w:rsidR="00F80C5D" w:rsidRPr="004521FD" w:rsidRDefault="00F80C5D" w:rsidP="00F80C5D">
      <w:pPr>
        <w:jc w:val="center"/>
        <w:rPr>
          <w:rFonts w:ascii="Tahoma" w:hAnsi="Tahoma" w:cs="Tahoma"/>
          <w:sz w:val="20"/>
          <w:szCs w:val="20"/>
        </w:rPr>
      </w:pPr>
    </w:p>
    <w:p w:rsidR="00F80C5D" w:rsidRPr="004521FD" w:rsidRDefault="00F80C5D" w:rsidP="00F80C5D">
      <w:pPr>
        <w:jc w:val="center"/>
        <w:rPr>
          <w:rFonts w:ascii="Tahoma" w:hAnsi="Tahoma" w:cs="Tahoma"/>
          <w:sz w:val="20"/>
          <w:szCs w:val="20"/>
        </w:rPr>
      </w:pPr>
    </w:p>
    <w:p w:rsidR="00D06E71" w:rsidRDefault="00F80C5D" w:rsidP="00F80C5D">
      <w:pPr>
        <w:jc w:val="center"/>
        <w:rPr>
          <w:rFonts w:ascii="Tahoma" w:hAnsi="Tahoma" w:cs="Tahoma"/>
          <w:b/>
          <w:sz w:val="20"/>
          <w:szCs w:val="20"/>
          <w:lang w:val="es-MX"/>
        </w:rPr>
      </w:pPr>
      <w:r w:rsidRPr="004521FD">
        <w:rPr>
          <w:rFonts w:ascii="Tahoma" w:hAnsi="Tahoma" w:cs="Tahoma"/>
          <w:b/>
          <w:sz w:val="20"/>
          <w:szCs w:val="20"/>
          <w:lang w:val="es-MX"/>
        </w:rPr>
        <w:t xml:space="preserve">C. </w:t>
      </w:r>
      <w:r w:rsidR="00D06E71">
        <w:rPr>
          <w:rFonts w:ascii="Tahoma" w:hAnsi="Tahoma" w:cs="Tahoma"/>
          <w:b/>
          <w:sz w:val="20"/>
          <w:szCs w:val="20"/>
          <w:lang w:val="es-MX"/>
        </w:rPr>
        <w:t>JORGE</w:t>
      </w:r>
      <w:r w:rsidR="00695A60">
        <w:rPr>
          <w:rFonts w:ascii="Tahoma" w:hAnsi="Tahoma" w:cs="Tahoma"/>
          <w:b/>
          <w:sz w:val="20"/>
          <w:szCs w:val="20"/>
          <w:lang w:val="es-MX"/>
        </w:rPr>
        <w:t xml:space="preserve"> LUIS</w:t>
      </w:r>
      <w:r w:rsidR="00D06E71">
        <w:rPr>
          <w:rFonts w:ascii="Tahoma" w:hAnsi="Tahoma" w:cs="Tahoma"/>
          <w:b/>
          <w:sz w:val="20"/>
          <w:szCs w:val="20"/>
          <w:lang w:val="es-MX"/>
        </w:rPr>
        <w:t xml:space="preserve"> HUICOCHEA MENDOZA </w:t>
      </w:r>
    </w:p>
    <w:p w:rsidR="00695A60" w:rsidRPr="00B7187D" w:rsidRDefault="00695A60" w:rsidP="00695A60">
      <w:pPr>
        <w:jc w:val="center"/>
        <w:rPr>
          <w:rFonts w:ascii="Century Gothic" w:hAnsi="Century Gothic"/>
          <w:sz w:val="18"/>
        </w:rPr>
      </w:pPr>
      <w:r w:rsidRPr="00FF1FA8">
        <w:rPr>
          <w:rFonts w:ascii="Century Gothic" w:hAnsi="Century Gothic"/>
          <w:sz w:val="18"/>
        </w:rPr>
        <w:t>Jefe del Departamento de Tecnologías de la Información.</w:t>
      </w:r>
    </w:p>
    <w:p w:rsidR="00F80C5D" w:rsidRPr="00695A60" w:rsidRDefault="00F80C5D" w:rsidP="00F80C5D">
      <w:pPr>
        <w:jc w:val="center"/>
        <w:rPr>
          <w:rFonts w:ascii="Arial" w:hAnsi="Arial" w:cs="Arial"/>
          <w:sz w:val="22"/>
          <w:szCs w:val="22"/>
        </w:rPr>
      </w:pPr>
    </w:p>
    <w:p w:rsidR="00F80C5D" w:rsidRDefault="00F80C5D" w:rsidP="00F80C5D">
      <w:pPr>
        <w:jc w:val="center"/>
        <w:rPr>
          <w:rFonts w:ascii="Arial" w:hAnsi="Arial" w:cs="Arial"/>
          <w:sz w:val="22"/>
          <w:szCs w:val="22"/>
          <w:lang w:val="es-MX"/>
        </w:rPr>
      </w:pPr>
    </w:p>
    <w:p w:rsidR="00F80C5D" w:rsidRDefault="00F80C5D" w:rsidP="00F80C5D">
      <w:pPr>
        <w:jc w:val="center"/>
        <w:rPr>
          <w:rFonts w:ascii="Arial" w:hAnsi="Arial" w:cs="Arial"/>
          <w:sz w:val="22"/>
          <w:szCs w:val="22"/>
          <w:lang w:val="es-MX"/>
        </w:rPr>
      </w:pPr>
    </w:p>
    <w:p w:rsidR="00F80C5D" w:rsidRPr="007B0231" w:rsidRDefault="00F80C5D" w:rsidP="00F80C5D">
      <w:pPr>
        <w:rPr>
          <w:rFonts w:ascii="Arial" w:hAnsi="Arial" w:cs="Arial"/>
          <w:sz w:val="14"/>
          <w:szCs w:val="14"/>
          <w:lang w:val="es-MX"/>
        </w:rPr>
      </w:pPr>
      <w:r>
        <w:rPr>
          <w:rFonts w:ascii="Arial" w:hAnsi="Arial" w:cs="Arial"/>
          <w:sz w:val="14"/>
          <w:szCs w:val="14"/>
          <w:lang w:val="es-MX"/>
        </w:rPr>
        <w:t>C.c.p.:</w:t>
      </w:r>
    </w:p>
    <w:p w:rsidR="00F80C5D" w:rsidRPr="007B0231" w:rsidRDefault="008429D1" w:rsidP="00695A60">
      <w:pPr>
        <w:pStyle w:val="Prrafodelista"/>
        <w:jc w:val="both"/>
        <w:rPr>
          <w:rFonts w:ascii="Arial" w:hAnsi="Arial" w:cs="Arial"/>
          <w:sz w:val="14"/>
          <w:szCs w:val="14"/>
          <w:lang w:val="es-MX"/>
        </w:rPr>
      </w:pPr>
      <w:r>
        <w:rPr>
          <w:rFonts w:ascii="Tahoma" w:hAnsi="Tahoma" w:cs="Tahoma"/>
          <w:sz w:val="14"/>
          <w:szCs w:val="14"/>
          <w:lang w:val="es-MX"/>
        </w:rPr>
        <w:t>LIC.</w:t>
      </w:r>
      <w:r w:rsidR="00F80C5D">
        <w:rPr>
          <w:rFonts w:ascii="Tahoma" w:hAnsi="Tahoma" w:cs="Tahoma"/>
          <w:sz w:val="14"/>
          <w:szCs w:val="14"/>
          <w:lang w:val="es-MX"/>
        </w:rPr>
        <w:t xml:space="preserve"> </w:t>
      </w:r>
      <w:r>
        <w:rPr>
          <w:rFonts w:ascii="Tahoma" w:hAnsi="Tahoma" w:cs="Tahoma"/>
          <w:sz w:val="14"/>
          <w:szCs w:val="14"/>
          <w:lang w:val="es-MX"/>
        </w:rPr>
        <w:t>Liliana Pérez Orihuela</w:t>
      </w:r>
      <w:r w:rsidR="00F80C5D">
        <w:rPr>
          <w:rFonts w:ascii="Tahoma" w:hAnsi="Tahoma" w:cs="Tahoma"/>
          <w:sz w:val="14"/>
          <w:szCs w:val="14"/>
          <w:lang w:val="es-MX"/>
        </w:rPr>
        <w:t xml:space="preserve">.- </w:t>
      </w:r>
      <w:r>
        <w:rPr>
          <w:rFonts w:ascii="Tahoma" w:hAnsi="Tahoma" w:cs="Tahoma"/>
          <w:sz w:val="14"/>
          <w:szCs w:val="14"/>
          <w:lang w:val="es-MX"/>
        </w:rPr>
        <w:t>Subd</w:t>
      </w:r>
      <w:r w:rsidR="00F80C5D">
        <w:rPr>
          <w:rFonts w:ascii="Tahoma" w:hAnsi="Tahoma" w:cs="Tahoma"/>
          <w:sz w:val="14"/>
          <w:szCs w:val="14"/>
          <w:lang w:val="es-MX"/>
        </w:rPr>
        <w:t>irectora</w:t>
      </w:r>
      <w:r w:rsidR="00F80C5D" w:rsidRPr="00F26C49">
        <w:rPr>
          <w:rFonts w:ascii="Tahoma" w:hAnsi="Tahoma" w:cs="Tahoma"/>
          <w:sz w:val="14"/>
          <w:szCs w:val="14"/>
          <w:lang w:val="es-MX"/>
        </w:rPr>
        <w:t xml:space="preserve"> de</w:t>
      </w:r>
      <w:r>
        <w:rPr>
          <w:rFonts w:ascii="Tahoma" w:hAnsi="Tahoma" w:cs="Tahoma"/>
          <w:sz w:val="14"/>
          <w:szCs w:val="14"/>
          <w:lang w:val="es-MX"/>
        </w:rPr>
        <w:t xml:space="preserve"> Planeación</w:t>
      </w:r>
      <w:r w:rsidR="00F80C5D" w:rsidRPr="00F26C49">
        <w:rPr>
          <w:rFonts w:ascii="Tahoma" w:hAnsi="Tahoma" w:cs="Tahoma"/>
          <w:sz w:val="14"/>
          <w:szCs w:val="14"/>
          <w:lang w:val="es-MX"/>
        </w:rPr>
        <w:t>.- Presente</w:t>
      </w:r>
    </w:p>
    <w:p w:rsidR="00F80C5D" w:rsidRDefault="00F80C5D" w:rsidP="00F80C5D">
      <w:pPr>
        <w:jc w:val="both"/>
        <w:rPr>
          <w:rFonts w:ascii="Arial" w:hAnsi="Arial" w:cs="Arial"/>
          <w:sz w:val="14"/>
          <w:szCs w:val="14"/>
          <w:lang w:val="es-MX"/>
        </w:rPr>
      </w:pPr>
    </w:p>
    <w:p w:rsidR="00F80C5D" w:rsidRDefault="00F80C5D" w:rsidP="00F80C5D">
      <w:pPr>
        <w:jc w:val="both"/>
        <w:rPr>
          <w:rFonts w:ascii="Arial" w:hAnsi="Arial" w:cs="Arial"/>
          <w:sz w:val="14"/>
          <w:szCs w:val="14"/>
          <w:lang w:val="es-MX"/>
        </w:rPr>
      </w:pPr>
    </w:p>
    <w:p w:rsidR="00F80C5D" w:rsidRDefault="00F80C5D" w:rsidP="00F80C5D">
      <w:pPr>
        <w:jc w:val="both"/>
        <w:rPr>
          <w:rFonts w:ascii="Arial" w:hAnsi="Arial" w:cs="Arial"/>
          <w:sz w:val="14"/>
          <w:szCs w:val="14"/>
          <w:lang w:val="es-MX"/>
        </w:rPr>
      </w:pPr>
    </w:p>
    <w:p w:rsidR="00266A2B" w:rsidRDefault="00210681"/>
    <w:sectPr w:rsidR="00266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CB290F"/>
    <w:multiLevelType w:val="hybridMultilevel"/>
    <w:tmpl w:val="C1940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C5D"/>
    <w:rsid w:val="001E5ABF"/>
    <w:rsid w:val="00210681"/>
    <w:rsid w:val="003D4A79"/>
    <w:rsid w:val="00695A60"/>
    <w:rsid w:val="008429D1"/>
    <w:rsid w:val="009840E0"/>
    <w:rsid w:val="00D06E71"/>
    <w:rsid w:val="00F14DA4"/>
    <w:rsid w:val="00F80C5D"/>
    <w:rsid w:val="00F95A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C5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0C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C5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0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5</Pages>
  <Words>1493</Words>
  <Characters>8215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 Planeación</dc:creator>
  <cp:lastModifiedBy>Sub. Planeación</cp:lastModifiedBy>
  <cp:revision>4</cp:revision>
  <cp:lastPrinted>2015-01-27T17:02:00Z</cp:lastPrinted>
  <dcterms:created xsi:type="dcterms:W3CDTF">2015-01-27T15:35:00Z</dcterms:created>
  <dcterms:modified xsi:type="dcterms:W3CDTF">2015-01-28T01:13:00Z</dcterms:modified>
</cp:coreProperties>
</file>