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Storie: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Nombre: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Alta tipo de respuesta de reactivo.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firstLine="0"/>
        <w:contextualSpacing w:val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firstLine="0"/>
        <w:contextualSpacing w:val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3"/>
          <w:szCs w:val="23"/>
          <w:highlight w:val="white"/>
          <w:rtl w:val="0"/>
        </w:rPr>
        <w:t xml:space="preserve">Se mostrará una pestaña en la vista del administrador del sistema para dar de alta un tipo de reactivo. Por ejemplo: respuesta abierta, selección múltiple y sus variaciones. Valida que el campo no esté vacío.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566.9291338582675"/>
        <w:contextualSpacing w:val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566.9291338582675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566.9291338582675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566.9291338582675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566.9291338582675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Prioridad: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ff99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29ed12"/>
          <w:sz w:val="24"/>
          <w:szCs w:val="24"/>
          <w:rtl w:val="0"/>
        </w:rPr>
        <w:t xml:space="preserve">Baja</w:t>
      </w: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ab/>
        <w:tab/>
        <w:tab/>
        <w:t xml:space="preserve">    </w:t>
        <w:tab/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Puntaje estimado: 5</w:t>
      </w:r>
    </w:p>
    <w:sectPr>
      <w:pgSz w:h="5940" w:w="13680"/>
      <w:pgMar w:bottom="200" w:top="300" w:left="566.9291338582677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