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Modificación tipo de respuesta de reactivo.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highlight w:val="white"/>
          <w:rtl w:val="0"/>
        </w:rPr>
        <w:t xml:space="preserve">Actualiza un tipo de respuesta existente en la base de datos. Se pide seleccionar el tipo de respuesta a modificar y se solicita actualizar el campo. Valida que el campo no esté vacío ni que tenga otro tipo de error. Se muestran los errores en caso de haberlos.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3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