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Selección de Participantes.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widowControl w:val="0"/>
        <w:ind w:left="708.6614173228347"/>
        <w:contextualSpacing w:val="0"/>
        <w:rPr/>
      </w:pPr>
      <w:bookmarkStart w:colFirst="0" w:colLast="0" w:name="_rjjtpc6ic9zj" w:id="0"/>
      <w:bookmarkEnd w:id="0"/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000000"/>
          <w:sz w:val="24"/>
          <w:szCs w:val="24"/>
          <w:rtl w:val="0"/>
        </w:rPr>
        <w:t xml:space="preserve">La ventana mostrará un combobox con los estudios existentes, los cuestionarios y los encuestadores, la selección se realizará con la combinación de eso 3 campos y el botón “Asignar ” , mostrará un mensaje de éxito al asignar.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5" w:hanging="566.929133858267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708.6614173228347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Media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5</w:t>
      </w:r>
    </w:p>
    <w:sectPr>
      <w:pgSz w:h="5940" w:w="13680"/>
      <w:pgMar w:bottom="200" w:top="300" w:left="5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