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4"/>
        </w:rPr>
        <w:t>6. Funcionamiento del MVP</w:t>
      </w:r>
    </w:p>
    <w:p>
      <w:pPr>
        <w:spacing w:after="240"/>
      </w:pPr>
      <w:r>
        <w:rPr>
          <w:rFonts w:ascii="Calibri" w:hAnsi="Calibri" w:eastAsia="Calibri"/>
          <w:b w:val="0"/>
          <w:color w:val="555555"/>
          <w:sz w:val="22"/>
        </w:rPr>
        <w:t>EducationMaxxingMVP - Evidencia funcional del demo</w:t>
      </w:r>
    </w:p>
    <w:p>
      <w:pPr>
        <w:spacing w:after="120" w:line="264" w:lineRule="auto"/>
      </w:pPr>
      <w:r>
        <w:rPr>
          <w:rFonts w:ascii="Calibri" w:hAnsi="Calibri" w:eastAsia="Calibri"/>
          <w:b w:val="0"/>
          <w:color w:val="000000"/>
          <w:sz w:val="22"/>
        </w:rPr>
        <w:t>Esta sección documenta el alcance funcional del demo, los pasos necesarios para ejecutar el sistema y las evidencias capturadas durante un recorrido completo por la interfaz web. El flujo validado cubre administración de usuarios, creación de curso, creación de asignación y entrega de tarea por parte de un alumno.</w:t>
      </w:r>
    </w:p>
    <w:p>
      <w:pPr>
        <w:pStyle w:val="Heading1"/>
        <w:spacing w:before="320" w:after="160"/>
      </w:pPr>
      <w:r>
        <w:rPr>
          <w:rFonts w:ascii="Calibri" w:hAnsi="Calibri" w:eastAsia="Calibri"/>
          <w:b/>
          <w:color w:val="2E74B5"/>
          <w:sz w:val="32"/>
        </w:rPr>
        <w:t>6.1 Alcance Funcional del Demo</w:t>
      </w:r>
    </w:p>
    <w:p>
      <w:pPr>
        <w:spacing w:after="120" w:line="264" w:lineRule="auto"/>
      </w:pPr>
      <w:r>
        <w:rPr>
          <w:rFonts w:ascii="Calibri" w:hAnsi="Calibri" w:eastAsia="Calibri"/>
          <w:b w:val="0"/>
          <w:color w:val="000000"/>
          <w:sz w:val="22"/>
        </w:rPr>
        <w:t>El demo se limita al comportamiento central del MVP: autenticación por roles, administración básica de usuarios y cursos, creación de asignaciones y carga de archivos de entrega. Las funciones marcadas como V2 representan capacidades fuera del alcance inmediato o no demostradas dentro del recorrido principal.</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3096"/>
            <w:shd w:fill="F2F4F7"/>
            <w:tcMar>
              <w:top w:w="80" w:type="dxa"/>
              <w:start w:w="120" w:type="dxa"/>
              <w:bottom w:w="80" w:type="dxa"/>
              <w:end w:w="120" w:type="dxa"/>
            </w:tcMar>
            <w:vAlign w:val="center"/>
          </w:tcPr>
          <w:p>
            <w:pPr>
              <w:jc w:val="center"/>
            </w:pPr>
            <w:r>
              <w:rPr>
                <w:rFonts w:ascii="Calibri" w:hAnsi="Calibri" w:eastAsia="Calibri"/>
                <w:b/>
                <w:color w:val="1F4D78"/>
                <w:sz w:val="19"/>
              </w:rPr>
              <w:t>FUNCIONALIDAD</w:t>
            </w:r>
          </w:p>
        </w:tc>
        <w:tc>
          <w:tcPr>
            <w:tcW w:type="dxa" w:w="2088"/>
            <w:shd w:fill="F2F4F7"/>
            <w:tcMar>
              <w:top w:w="80" w:type="dxa"/>
              <w:start w:w="120" w:type="dxa"/>
              <w:bottom w:w="80" w:type="dxa"/>
              <w:end w:w="120" w:type="dxa"/>
            </w:tcMar>
            <w:vAlign w:val="center"/>
          </w:tcPr>
          <w:p>
            <w:pPr>
              <w:jc w:val="center"/>
            </w:pPr>
            <w:r>
              <w:rPr>
                <w:rFonts w:ascii="Calibri" w:hAnsi="Calibri" w:eastAsia="Calibri"/>
                <w:b/>
                <w:color w:val="1F4D78"/>
                <w:sz w:val="19"/>
              </w:rPr>
              <w:t>¿INCLUIDA EN EL MVP?</w:t>
            </w:r>
          </w:p>
        </w:tc>
        <w:tc>
          <w:tcPr>
            <w:tcW w:type="dxa" w:w="3960"/>
            <w:shd w:fill="F2F4F7"/>
            <w:tcMar>
              <w:top w:w="80" w:type="dxa"/>
              <w:start w:w="120" w:type="dxa"/>
              <w:bottom w:w="80" w:type="dxa"/>
              <w:end w:w="120" w:type="dxa"/>
            </w:tcMar>
            <w:vAlign w:val="center"/>
          </w:tcPr>
          <w:p>
            <w:pPr>
              <w:jc w:val="center"/>
            </w:pPr>
            <w:r>
              <w:rPr>
                <w:rFonts w:ascii="Calibri" w:hAnsi="Calibri" w:eastAsia="Calibri"/>
                <w:b/>
                <w:color w:val="1F4D78"/>
                <w:sz w:val="19"/>
              </w:rPr>
              <w:t>OBSERVACIÓN</w:t>
            </w:r>
          </w:p>
        </w:tc>
      </w:tr>
      <w:tr>
        <w:tc>
          <w:tcPr>
            <w:tcW w:type="dxa" w:w="3096"/>
            <w:tcMar>
              <w:top w:w="80" w:type="dxa"/>
              <w:start w:w="120" w:type="dxa"/>
              <w:bottom w:w="80" w:type="dxa"/>
              <w:end w:w="120" w:type="dxa"/>
            </w:tcMar>
            <w:vAlign w:val="center"/>
          </w:tcPr>
          <w:p>
            <w:pPr>
              <w:spacing w:after="0"/>
            </w:pPr>
            <w:r>
              <w:rPr>
                <w:rFonts w:ascii="Calibri" w:hAnsi="Calibri" w:eastAsia="Calibri"/>
                <w:b w:val="0"/>
                <w:sz w:val="18"/>
              </w:rPr>
              <w:t>Inicio de sesión y autenticación por JWT</w:t>
            </w:r>
          </w:p>
        </w:tc>
        <w:tc>
          <w:tcPr>
            <w:tcW w:type="dxa" w:w="2088"/>
            <w:tcMar>
              <w:top w:w="80" w:type="dxa"/>
              <w:start w:w="120" w:type="dxa"/>
              <w:bottom w:w="80" w:type="dxa"/>
              <w:end w:w="120" w:type="dxa"/>
            </w:tcMar>
            <w:vAlign w:val="center"/>
          </w:tcPr>
          <w:p>
            <w:pPr>
              <w:spacing w:after="0"/>
              <w:jc w:val="center"/>
            </w:pPr>
            <w:r>
              <w:rPr>
                <w:rFonts w:ascii="Calibri" w:hAnsi="Calibri" w:eastAsia="Calibri"/>
                <w:b w:val="0"/>
                <w:sz w:val="18"/>
              </w:rPr>
              <w:t>Sí - incluida</w:t>
            </w:r>
          </w:p>
        </w:tc>
        <w:tc>
          <w:tcPr>
            <w:tcW w:type="dxa" w:w="3960"/>
            <w:tcMar>
              <w:top w:w="80" w:type="dxa"/>
              <w:start w:w="120" w:type="dxa"/>
              <w:bottom w:w="80" w:type="dxa"/>
              <w:end w:w="120" w:type="dxa"/>
            </w:tcMar>
            <w:vAlign w:val="center"/>
          </w:tcPr>
          <w:p>
            <w:pPr>
              <w:spacing w:after="0"/>
            </w:pPr>
            <w:r>
              <w:rPr>
                <w:rFonts w:ascii="Calibri" w:hAnsi="Calibri" w:eastAsia="Calibri"/>
                <w:b w:val="0"/>
                <w:sz w:val="18"/>
              </w:rPr>
              <w:t>Funcional y probada con administrador, profesor y alumno durante el recorrido del demo.</w:t>
            </w:r>
          </w:p>
        </w:tc>
      </w:tr>
      <w:tr>
        <w:tc>
          <w:tcPr>
            <w:tcW w:type="dxa" w:w="3096"/>
            <w:tcMar>
              <w:top w:w="80" w:type="dxa"/>
              <w:start w:w="120" w:type="dxa"/>
              <w:bottom w:w="80" w:type="dxa"/>
              <w:end w:w="120" w:type="dxa"/>
            </w:tcMar>
            <w:vAlign w:val="center"/>
          </w:tcPr>
          <w:p>
            <w:pPr>
              <w:spacing w:after="0"/>
            </w:pPr>
            <w:r>
              <w:rPr>
                <w:rFonts w:ascii="Calibri" w:hAnsi="Calibri" w:eastAsia="Calibri"/>
                <w:b w:val="0"/>
                <w:sz w:val="18"/>
              </w:rPr>
              <w:t>Gestión de usuarios por administrador</w:t>
            </w:r>
          </w:p>
        </w:tc>
        <w:tc>
          <w:tcPr>
            <w:tcW w:type="dxa" w:w="2088"/>
            <w:tcMar>
              <w:top w:w="80" w:type="dxa"/>
              <w:start w:w="120" w:type="dxa"/>
              <w:bottom w:w="80" w:type="dxa"/>
              <w:end w:w="120" w:type="dxa"/>
            </w:tcMar>
            <w:vAlign w:val="center"/>
          </w:tcPr>
          <w:p>
            <w:pPr>
              <w:spacing w:after="0"/>
              <w:jc w:val="center"/>
            </w:pPr>
            <w:r>
              <w:rPr>
                <w:rFonts w:ascii="Calibri" w:hAnsi="Calibri" w:eastAsia="Calibri"/>
                <w:b w:val="0"/>
                <w:sz w:val="18"/>
              </w:rPr>
              <w:t>Sí - incluida</w:t>
            </w:r>
          </w:p>
        </w:tc>
        <w:tc>
          <w:tcPr>
            <w:tcW w:type="dxa" w:w="3960"/>
            <w:tcMar>
              <w:top w:w="80" w:type="dxa"/>
              <w:start w:w="120" w:type="dxa"/>
              <w:bottom w:w="80" w:type="dxa"/>
              <w:end w:w="120" w:type="dxa"/>
            </w:tcMar>
            <w:vAlign w:val="center"/>
          </w:tcPr>
          <w:p>
            <w:pPr>
              <w:spacing w:after="0"/>
            </w:pPr>
            <w:r>
              <w:rPr>
                <w:rFonts w:ascii="Calibri" w:hAnsi="Calibri" w:eastAsia="Calibri"/>
                <w:b w:val="0"/>
                <w:sz w:val="18"/>
              </w:rPr>
              <w:t>El administrador crea usuarios con rol profesor y alumno desde la interfaz web.</w:t>
            </w:r>
          </w:p>
        </w:tc>
      </w:tr>
      <w:tr>
        <w:tc>
          <w:tcPr>
            <w:tcW w:type="dxa" w:w="3096"/>
            <w:tcMar>
              <w:top w:w="80" w:type="dxa"/>
              <w:start w:w="120" w:type="dxa"/>
              <w:bottom w:w="80" w:type="dxa"/>
              <w:end w:w="120" w:type="dxa"/>
            </w:tcMar>
            <w:vAlign w:val="center"/>
          </w:tcPr>
          <w:p>
            <w:pPr>
              <w:spacing w:after="0"/>
            </w:pPr>
            <w:r>
              <w:rPr>
                <w:rFonts w:ascii="Calibri" w:hAnsi="Calibri" w:eastAsia="Calibri"/>
                <w:b w:val="0"/>
                <w:sz w:val="18"/>
              </w:rPr>
              <w:t>Creación y asignación de cursos</w:t>
            </w:r>
          </w:p>
        </w:tc>
        <w:tc>
          <w:tcPr>
            <w:tcW w:type="dxa" w:w="2088"/>
            <w:tcMar>
              <w:top w:w="80" w:type="dxa"/>
              <w:start w:w="120" w:type="dxa"/>
              <w:bottom w:w="80" w:type="dxa"/>
              <w:end w:w="120" w:type="dxa"/>
            </w:tcMar>
            <w:vAlign w:val="center"/>
          </w:tcPr>
          <w:p>
            <w:pPr>
              <w:spacing w:after="0"/>
              <w:jc w:val="center"/>
            </w:pPr>
            <w:r>
              <w:rPr>
                <w:rFonts w:ascii="Calibri" w:hAnsi="Calibri" w:eastAsia="Calibri"/>
                <w:b w:val="0"/>
                <w:sz w:val="18"/>
              </w:rPr>
              <w:t>Sí - incluida</w:t>
            </w:r>
          </w:p>
        </w:tc>
        <w:tc>
          <w:tcPr>
            <w:tcW w:type="dxa" w:w="3960"/>
            <w:tcMar>
              <w:top w:w="80" w:type="dxa"/>
              <w:start w:w="120" w:type="dxa"/>
              <w:bottom w:w="80" w:type="dxa"/>
              <w:end w:w="120" w:type="dxa"/>
            </w:tcMar>
            <w:vAlign w:val="center"/>
          </w:tcPr>
          <w:p>
            <w:pPr>
              <w:spacing w:after="0"/>
            </w:pPr>
            <w:r>
              <w:rPr>
                <w:rFonts w:ascii="Calibri" w:hAnsi="Calibri" w:eastAsia="Calibri"/>
                <w:b w:val="0"/>
                <w:sz w:val="18"/>
              </w:rPr>
              <w:t>El administrador crea un curso nuevo y lo asigna al profesor creado en el flujo.</w:t>
            </w:r>
          </w:p>
        </w:tc>
      </w:tr>
      <w:tr>
        <w:tc>
          <w:tcPr>
            <w:tcW w:type="dxa" w:w="3096"/>
            <w:tcMar>
              <w:top w:w="80" w:type="dxa"/>
              <w:start w:w="120" w:type="dxa"/>
              <w:bottom w:w="80" w:type="dxa"/>
              <w:end w:w="120" w:type="dxa"/>
            </w:tcMar>
            <w:vAlign w:val="center"/>
          </w:tcPr>
          <w:p>
            <w:pPr>
              <w:spacing w:after="0"/>
            </w:pPr>
            <w:r>
              <w:rPr>
                <w:rFonts w:ascii="Calibri" w:hAnsi="Calibri" w:eastAsia="Calibri"/>
                <w:b w:val="0"/>
                <w:sz w:val="18"/>
              </w:rPr>
              <w:t>Inscripción de alumnos a cursos</w:t>
            </w:r>
          </w:p>
        </w:tc>
        <w:tc>
          <w:tcPr>
            <w:tcW w:type="dxa" w:w="2088"/>
            <w:tcMar>
              <w:top w:w="80" w:type="dxa"/>
              <w:start w:w="120" w:type="dxa"/>
              <w:bottom w:w="80" w:type="dxa"/>
              <w:end w:w="120" w:type="dxa"/>
            </w:tcMar>
            <w:vAlign w:val="center"/>
          </w:tcPr>
          <w:p>
            <w:pPr>
              <w:spacing w:after="0"/>
              <w:jc w:val="center"/>
            </w:pPr>
            <w:r>
              <w:rPr>
                <w:rFonts w:ascii="Calibri" w:hAnsi="Calibri" w:eastAsia="Calibri"/>
                <w:b w:val="0"/>
                <w:sz w:val="18"/>
              </w:rPr>
              <w:t>Sí - incluida</w:t>
            </w:r>
          </w:p>
        </w:tc>
        <w:tc>
          <w:tcPr>
            <w:tcW w:type="dxa" w:w="3960"/>
            <w:tcMar>
              <w:top w:w="80" w:type="dxa"/>
              <w:start w:w="120" w:type="dxa"/>
              <w:bottom w:w="80" w:type="dxa"/>
              <w:end w:w="120" w:type="dxa"/>
            </w:tcMar>
            <w:vAlign w:val="center"/>
          </w:tcPr>
          <w:p>
            <w:pPr>
              <w:spacing w:after="0"/>
            </w:pPr>
            <w:r>
              <w:rPr>
                <w:rFonts w:ascii="Calibri" w:hAnsi="Calibri" w:eastAsia="Calibri"/>
                <w:b w:val="0"/>
                <w:sz w:val="18"/>
              </w:rPr>
              <w:t>El alumno creado se inscribe al curso mediante el panel de administración.</w:t>
            </w:r>
          </w:p>
        </w:tc>
      </w:tr>
      <w:tr>
        <w:tc>
          <w:tcPr>
            <w:tcW w:type="dxa" w:w="3096"/>
            <w:tcMar>
              <w:top w:w="80" w:type="dxa"/>
              <w:start w:w="120" w:type="dxa"/>
              <w:bottom w:w="80" w:type="dxa"/>
              <w:end w:w="120" w:type="dxa"/>
            </w:tcMar>
            <w:vAlign w:val="center"/>
          </w:tcPr>
          <w:p>
            <w:pPr>
              <w:spacing w:after="0"/>
            </w:pPr>
            <w:r>
              <w:rPr>
                <w:rFonts w:ascii="Calibri" w:hAnsi="Calibri" w:eastAsia="Calibri"/>
                <w:b w:val="0"/>
                <w:sz w:val="18"/>
              </w:rPr>
              <w:t>Creación de asignaciones por profesor</w:t>
            </w:r>
          </w:p>
        </w:tc>
        <w:tc>
          <w:tcPr>
            <w:tcW w:type="dxa" w:w="2088"/>
            <w:tcMar>
              <w:top w:w="80" w:type="dxa"/>
              <w:start w:w="120" w:type="dxa"/>
              <w:bottom w:w="80" w:type="dxa"/>
              <w:end w:w="120" w:type="dxa"/>
            </w:tcMar>
            <w:vAlign w:val="center"/>
          </w:tcPr>
          <w:p>
            <w:pPr>
              <w:spacing w:after="0"/>
              <w:jc w:val="center"/>
            </w:pPr>
            <w:r>
              <w:rPr>
                <w:rFonts w:ascii="Calibri" w:hAnsi="Calibri" w:eastAsia="Calibri"/>
                <w:b w:val="0"/>
                <w:sz w:val="18"/>
              </w:rPr>
              <w:t>Sí - incluida</w:t>
            </w:r>
          </w:p>
        </w:tc>
        <w:tc>
          <w:tcPr>
            <w:tcW w:type="dxa" w:w="3960"/>
            <w:tcMar>
              <w:top w:w="80" w:type="dxa"/>
              <w:start w:w="120" w:type="dxa"/>
              <w:bottom w:w="80" w:type="dxa"/>
              <w:end w:w="120" w:type="dxa"/>
            </w:tcMar>
            <w:vAlign w:val="center"/>
          </w:tcPr>
          <w:p>
            <w:pPr>
              <w:spacing w:after="0"/>
            </w:pPr>
            <w:r>
              <w:rPr>
                <w:rFonts w:ascii="Calibri" w:hAnsi="Calibri" w:eastAsia="Calibri"/>
                <w:b w:val="0"/>
                <w:sz w:val="18"/>
              </w:rPr>
              <w:t>El profesor entra a su curso y crea una asignación con fecha de inicio y cierre.</w:t>
            </w:r>
          </w:p>
        </w:tc>
      </w:tr>
      <w:tr>
        <w:tc>
          <w:tcPr>
            <w:tcW w:type="dxa" w:w="3096"/>
            <w:tcMar>
              <w:top w:w="80" w:type="dxa"/>
              <w:start w:w="120" w:type="dxa"/>
              <w:bottom w:w="80" w:type="dxa"/>
              <w:end w:w="120" w:type="dxa"/>
            </w:tcMar>
            <w:vAlign w:val="center"/>
          </w:tcPr>
          <w:p>
            <w:pPr>
              <w:spacing w:after="0"/>
            </w:pPr>
            <w:r>
              <w:rPr>
                <w:rFonts w:ascii="Calibri" w:hAnsi="Calibri" w:eastAsia="Calibri"/>
                <w:b w:val="0"/>
                <w:sz w:val="18"/>
              </w:rPr>
              <w:t>Subida de tareas por alumno</w:t>
            </w:r>
          </w:p>
        </w:tc>
        <w:tc>
          <w:tcPr>
            <w:tcW w:type="dxa" w:w="2088"/>
            <w:tcMar>
              <w:top w:w="80" w:type="dxa"/>
              <w:start w:w="120" w:type="dxa"/>
              <w:bottom w:w="80" w:type="dxa"/>
              <w:end w:w="120" w:type="dxa"/>
            </w:tcMar>
            <w:vAlign w:val="center"/>
          </w:tcPr>
          <w:p>
            <w:pPr>
              <w:spacing w:after="0"/>
              <w:jc w:val="center"/>
            </w:pPr>
            <w:r>
              <w:rPr>
                <w:rFonts w:ascii="Calibri" w:hAnsi="Calibri" w:eastAsia="Calibri"/>
                <w:b w:val="0"/>
                <w:sz w:val="18"/>
              </w:rPr>
              <w:t>Sí - incluida</w:t>
            </w:r>
          </w:p>
        </w:tc>
        <w:tc>
          <w:tcPr>
            <w:tcW w:type="dxa" w:w="3960"/>
            <w:tcMar>
              <w:top w:w="80" w:type="dxa"/>
              <w:start w:w="120" w:type="dxa"/>
              <w:bottom w:w="80" w:type="dxa"/>
              <w:end w:w="120" w:type="dxa"/>
            </w:tcMar>
            <w:vAlign w:val="center"/>
          </w:tcPr>
          <w:p>
            <w:pPr>
              <w:spacing w:after="0"/>
            </w:pPr>
            <w:r>
              <w:rPr>
                <w:rFonts w:ascii="Calibri" w:hAnsi="Calibri" w:eastAsia="Calibri"/>
                <w:b w:val="0"/>
                <w:sz w:val="18"/>
              </w:rPr>
              <w:t>El alumno adjunta un archivo válido y recibe confirmación de entrega.</w:t>
            </w:r>
          </w:p>
        </w:tc>
      </w:tr>
      <w:tr>
        <w:tc>
          <w:tcPr>
            <w:tcW w:type="dxa" w:w="3096"/>
            <w:tcMar>
              <w:top w:w="80" w:type="dxa"/>
              <w:start w:w="120" w:type="dxa"/>
              <w:bottom w:w="80" w:type="dxa"/>
              <w:end w:w="120" w:type="dxa"/>
            </w:tcMar>
            <w:vAlign w:val="center"/>
          </w:tcPr>
          <w:p>
            <w:pPr>
              <w:spacing w:after="0"/>
            </w:pPr>
            <w:r>
              <w:rPr>
                <w:rFonts w:ascii="Calibri" w:hAnsi="Calibri" w:eastAsia="Calibri"/>
                <w:b w:val="0"/>
                <w:sz w:val="18"/>
              </w:rPr>
              <w:t>Validación de archivo inválido</w:t>
            </w:r>
          </w:p>
        </w:tc>
        <w:tc>
          <w:tcPr>
            <w:tcW w:type="dxa" w:w="2088"/>
            <w:tcMar>
              <w:top w:w="80" w:type="dxa"/>
              <w:start w:w="120" w:type="dxa"/>
              <w:bottom w:w="80" w:type="dxa"/>
              <w:end w:w="120" w:type="dxa"/>
            </w:tcMar>
            <w:vAlign w:val="center"/>
          </w:tcPr>
          <w:p>
            <w:pPr>
              <w:spacing w:after="0"/>
              <w:jc w:val="center"/>
            </w:pPr>
            <w:r>
              <w:rPr>
                <w:rFonts w:ascii="Calibri" w:hAnsi="Calibri" w:eastAsia="Calibri"/>
                <w:b w:val="0"/>
                <w:sz w:val="18"/>
              </w:rPr>
              <w:t>Sí - incluida</w:t>
            </w:r>
          </w:p>
        </w:tc>
        <w:tc>
          <w:tcPr>
            <w:tcW w:type="dxa" w:w="3960"/>
            <w:tcMar>
              <w:top w:w="80" w:type="dxa"/>
              <w:start w:w="120" w:type="dxa"/>
              <w:bottom w:w="80" w:type="dxa"/>
              <w:end w:w="120" w:type="dxa"/>
            </w:tcMar>
            <w:vAlign w:val="center"/>
          </w:tcPr>
          <w:p>
            <w:pPr>
              <w:spacing w:after="0"/>
            </w:pPr>
            <w:r>
              <w:rPr>
                <w:rFonts w:ascii="Calibri" w:hAnsi="Calibri" w:eastAsia="Calibri"/>
                <w:b w:val="0"/>
                <w:sz w:val="18"/>
              </w:rPr>
              <w:t>El sistema rechaza un ejecutable y muestra el mensaje de error correspondiente.</w:t>
            </w:r>
          </w:p>
        </w:tc>
      </w:tr>
      <w:tr>
        <w:tc>
          <w:tcPr>
            <w:tcW w:type="dxa" w:w="3096"/>
            <w:tcMar>
              <w:top w:w="80" w:type="dxa"/>
              <w:start w:w="120" w:type="dxa"/>
              <w:bottom w:w="80" w:type="dxa"/>
              <w:end w:w="120" w:type="dxa"/>
            </w:tcMar>
            <w:vAlign w:val="center"/>
          </w:tcPr>
          <w:p>
            <w:pPr>
              <w:spacing w:after="0"/>
            </w:pPr>
            <w:r>
              <w:rPr>
                <w:rFonts w:ascii="Calibri" w:hAnsi="Calibri" w:eastAsia="Calibri"/>
                <w:b w:val="0"/>
                <w:sz w:val="18"/>
              </w:rPr>
              <w:t>Revisión y calificación de entregas</w:t>
            </w:r>
          </w:p>
        </w:tc>
        <w:tc>
          <w:tcPr>
            <w:tcW w:type="dxa" w:w="2088"/>
            <w:tcMar>
              <w:top w:w="80" w:type="dxa"/>
              <w:start w:w="120" w:type="dxa"/>
              <w:bottom w:w="80" w:type="dxa"/>
              <w:end w:w="120" w:type="dxa"/>
            </w:tcMar>
            <w:vAlign w:val="center"/>
          </w:tcPr>
          <w:p>
            <w:pPr>
              <w:spacing w:after="0"/>
              <w:jc w:val="center"/>
            </w:pPr>
            <w:r>
              <w:rPr>
                <w:rFonts w:ascii="Calibri" w:hAnsi="Calibri" w:eastAsia="Calibri"/>
                <w:b w:val="0"/>
                <w:sz w:val="18"/>
              </w:rPr>
              <w:t>Sí - parcial</w:t>
            </w:r>
          </w:p>
        </w:tc>
        <w:tc>
          <w:tcPr>
            <w:tcW w:type="dxa" w:w="3960"/>
            <w:tcMar>
              <w:top w:w="80" w:type="dxa"/>
              <w:start w:w="120" w:type="dxa"/>
              <w:bottom w:w="80" w:type="dxa"/>
              <w:end w:w="120" w:type="dxa"/>
            </w:tcMar>
            <w:vAlign w:val="center"/>
          </w:tcPr>
          <w:p>
            <w:pPr>
              <w:spacing w:after="0"/>
            </w:pPr>
            <w:r>
              <w:rPr>
                <w:rFonts w:ascii="Calibri" w:hAnsi="Calibri" w:eastAsia="Calibri"/>
                <w:b w:val="0"/>
                <w:sz w:val="18"/>
              </w:rPr>
              <w:t>El backend y la vista de profesor contemplan revisión; no fue el foco principal de este demo.</w:t>
            </w:r>
          </w:p>
        </w:tc>
      </w:tr>
      <w:tr>
        <w:tc>
          <w:tcPr>
            <w:tcW w:type="dxa" w:w="3096"/>
            <w:tcMar>
              <w:top w:w="80" w:type="dxa"/>
              <w:start w:w="120" w:type="dxa"/>
              <w:bottom w:w="80" w:type="dxa"/>
              <w:end w:w="120" w:type="dxa"/>
            </w:tcMar>
            <w:vAlign w:val="center"/>
          </w:tcPr>
          <w:p>
            <w:pPr>
              <w:spacing w:after="0"/>
            </w:pPr>
            <w:r>
              <w:rPr>
                <w:rFonts w:ascii="Calibri" w:hAnsi="Calibri" w:eastAsia="Calibri"/>
                <w:b w:val="0"/>
                <w:sz w:val="18"/>
              </w:rPr>
              <w:t>Reportes académicos avanzados</w:t>
            </w:r>
          </w:p>
        </w:tc>
        <w:tc>
          <w:tcPr>
            <w:tcW w:type="dxa" w:w="2088"/>
            <w:tcMar>
              <w:top w:w="80" w:type="dxa"/>
              <w:start w:w="120" w:type="dxa"/>
              <w:bottom w:w="80" w:type="dxa"/>
              <w:end w:w="120" w:type="dxa"/>
            </w:tcMar>
            <w:vAlign w:val="center"/>
          </w:tcPr>
          <w:p>
            <w:pPr>
              <w:spacing w:after="0"/>
              <w:jc w:val="center"/>
            </w:pPr>
            <w:r>
              <w:rPr>
                <w:rFonts w:ascii="Calibri" w:hAnsi="Calibri" w:eastAsia="Calibri"/>
                <w:b w:val="0"/>
                <w:sz w:val="18"/>
              </w:rPr>
              <w:t>No - V2</w:t>
            </w:r>
          </w:p>
        </w:tc>
        <w:tc>
          <w:tcPr>
            <w:tcW w:type="dxa" w:w="3960"/>
            <w:tcMar>
              <w:top w:w="80" w:type="dxa"/>
              <w:start w:w="120" w:type="dxa"/>
              <w:bottom w:w="80" w:type="dxa"/>
              <w:end w:w="120" w:type="dxa"/>
            </w:tcMar>
            <w:vAlign w:val="center"/>
          </w:tcPr>
          <w:p>
            <w:pPr>
              <w:spacing w:after="0"/>
            </w:pPr>
            <w:r>
              <w:rPr>
                <w:rFonts w:ascii="Calibri" w:hAnsi="Calibri" w:eastAsia="Calibri"/>
                <w:b w:val="0"/>
                <w:sz w:val="18"/>
              </w:rPr>
              <w:t>Quedan fuera del alcance funcional demostrado en esta sección del MVP.</w:t>
            </w:r>
          </w:p>
        </w:tc>
      </w:tr>
      <w:tr>
        <w:tc>
          <w:tcPr>
            <w:tcW w:type="dxa" w:w="3096"/>
            <w:tcMar>
              <w:top w:w="80" w:type="dxa"/>
              <w:start w:w="120" w:type="dxa"/>
              <w:bottom w:w="80" w:type="dxa"/>
              <w:end w:w="120" w:type="dxa"/>
            </w:tcMar>
            <w:vAlign w:val="center"/>
          </w:tcPr>
          <w:p>
            <w:pPr>
              <w:spacing w:after="0"/>
            </w:pPr>
            <w:r>
              <w:rPr>
                <w:rFonts w:ascii="Calibri" w:hAnsi="Calibri" w:eastAsia="Calibri"/>
                <w:b w:val="0"/>
                <w:sz w:val="18"/>
              </w:rPr>
              <w:t>Persistencia en base de datos real</w:t>
            </w:r>
          </w:p>
        </w:tc>
        <w:tc>
          <w:tcPr>
            <w:tcW w:type="dxa" w:w="2088"/>
            <w:tcMar>
              <w:top w:w="80" w:type="dxa"/>
              <w:start w:w="120" w:type="dxa"/>
              <w:bottom w:w="80" w:type="dxa"/>
              <w:end w:w="120" w:type="dxa"/>
            </w:tcMar>
            <w:vAlign w:val="center"/>
          </w:tcPr>
          <w:p>
            <w:pPr>
              <w:spacing w:after="0"/>
              <w:jc w:val="center"/>
            </w:pPr>
            <w:r>
              <w:rPr>
                <w:rFonts w:ascii="Calibri" w:hAnsi="Calibri" w:eastAsia="Calibri"/>
                <w:b w:val="0"/>
                <w:sz w:val="18"/>
              </w:rPr>
              <w:t>No - V2</w:t>
            </w:r>
          </w:p>
        </w:tc>
        <w:tc>
          <w:tcPr>
            <w:tcW w:type="dxa" w:w="3960"/>
            <w:tcMar>
              <w:top w:w="80" w:type="dxa"/>
              <w:start w:w="120" w:type="dxa"/>
              <w:bottom w:w="80" w:type="dxa"/>
              <w:end w:w="120" w:type="dxa"/>
            </w:tcMar>
            <w:vAlign w:val="center"/>
          </w:tcPr>
          <w:p>
            <w:pPr>
              <w:spacing w:after="0"/>
            </w:pPr>
            <w:r>
              <w:rPr>
                <w:rFonts w:ascii="Calibri" w:hAnsi="Calibri" w:eastAsia="Calibri"/>
                <w:b w:val="0"/>
                <w:sz w:val="18"/>
              </w:rPr>
              <w:t>El MVP usa repositorios en memoria y almacenamiento local de archivos para evidenciar el flujo.</w:t>
            </w:r>
          </w:p>
        </w:tc>
      </w:tr>
    </w:tbl>
    <w:p/>
    <w:p>
      <w:pPr>
        <w:pStyle w:val="Heading1"/>
        <w:spacing w:before="320" w:after="160"/>
      </w:pPr>
      <w:r>
        <w:rPr>
          <w:rFonts w:ascii="Calibri" w:hAnsi="Calibri" w:eastAsia="Calibri"/>
          <w:b/>
          <w:color w:val="2E74B5"/>
          <w:sz w:val="32"/>
        </w:rPr>
        <w:t>6.2 Instrucciones de Ejecución del Demo</w:t>
      </w:r>
    </w:p>
    <w:p>
      <w:pPr>
        <w:pStyle w:val="Heading2"/>
        <w:spacing w:before="240" w:after="120"/>
      </w:pPr>
      <w:r>
        <w:rPr>
          <w:rFonts w:ascii="Calibri" w:hAnsi="Calibri" w:eastAsia="Calibri"/>
          <w:b/>
          <w:color w:val="2E74B5"/>
          <w:sz w:val="26"/>
        </w:rPr>
        <w:t>Requisitos previos</w:t>
      </w:r>
    </w:p>
    <w:p>
      <w:pPr>
        <w:pStyle w:val="ListBullet"/>
        <w:spacing w:after="80" w:line="264" w:lineRule="auto"/>
      </w:pPr>
      <w:r>
        <w:rPr>
          <w:rFonts w:ascii="Calibri" w:hAnsi="Calibri" w:eastAsia="Calibri"/>
          <w:b w:val="0"/>
          <w:sz w:val="22"/>
        </w:rPr>
        <w:t>Go 1.26.2 o compatible para ejecutar el backend.</w:t>
      </w:r>
    </w:p>
    <w:p>
      <w:pPr>
        <w:pStyle w:val="ListBullet"/>
        <w:spacing w:after="80" w:line="264" w:lineRule="auto"/>
      </w:pPr>
      <w:r>
        <w:rPr>
          <w:rFonts w:ascii="Calibri" w:hAnsi="Calibri" w:eastAsia="Calibri"/>
          <w:b w:val="0"/>
          <w:sz w:val="22"/>
        </w:rPr>
        <w:t>Node.js 25.9.0 y npm 11.12.1 o versiones compatibles con Next.js 16.2.7.</w:t>
      </w:r>
    </w:p>
    <w:p>
      <w:pPr>
        <w:pStyle w:val="ListBullet"/>
        <w:spacing w:after="80" w:line="264" w:lineRule="auto"/>
      </w:pPr>
      <w:r>
        <w:rPr>
          <w:rFonts w:ascii="Calibri" w:hAnsi="Calibri" w:eastAsia="Calibri"/>
          <w:b w:val="0"/>
          <w:sz w:val="22"/>
        </w:rPr>
        <w:t>Navegador moderno, preferentemente Google Chrome.</w:t>
      </w:r>
    </w:p>
    <w:p>
      <w:pPr>
        <w:pStyle w:val="ListBullet"/>
        <w:spacing w:after="80" w:line="264" w:lineRule="auto"/>
      </w:pPr>
      <w:r>
        <w:rPr>
          <w:rFonts w:ascii="Calibri" w:hAnsi="Calibri" w:eastAsia="Calibri"/>
          <w:b w:val="0"/>
          <w:sz w:val="22"/>
        </w:rPr>
        <w:t>Puerto 8080 disponible para la API y puerto 3000 disponible para el frontend.</w:t>
      </w:r>
    </w:p>
    <w:p>
      <w:pPr>
        <w:pStyle w:val="ListBullet"/>
        <w:spacing w:after="80" w:line="264" w:lineRule="auto"/>
      </w:pPr>
      <w:r>
        <w:rPr>
          <w:rFonts w:ascii="Calibri" w:hAnsi="Calibri" w:eastAsia="Calibri"/>
          <w:b w:val="0"/>
          <w:sz w:val="22"/>
        </w:rPr>
        <w:t>Archivo frontend/.env.local con NEXT_PUBLIC_API_URL=http://localhost:8080/api.</w:t>
      </w:r>
    </w:p>
    <w:p>
      <w:pPr>
        <w:pStyle w:val="Heading2"/>
        <w:spacing w:before="240" w:after="120"/>
      </w:pPr>
      <w:r>
        <w:rPr>
          <w:rFonts w:ascii="Calibri" w:hAnsi="Calibri" w:eastAsia="Calibri"/>
          <w:b/>
          <w:color w:val="2E74B5"/>
          <w:sz w:val="26"/>
        </w:rPr>
        <w:t>Pasos de instalación y ejecución</w:t>
      </w:r>
    </w:p>
    <w:p>
      <w:pPr>
        <w:pStyle w:val="ListNumber"/>
        <w:spacing w:after="80" w:line="264" w:lineRule="auto"/>
      </w:pPr>
      <w:r>
        <w:rPr>
          <w:rFonts w:ascii="Calibri" w:hAnsi="Calibri" w:eastAsia="Calibri"/>
          <w:b w:val="0"/>
          <w:sz w:val="22"/>
        </w:rPr>
        <w:t>Abrir una terminal en la raíz del proyecto EducationMaxxingMVP.</w:t>
      </w:r>
    </w:p>
    <w:p>
      <w:pPr>
        <w:pStyle w:val="ListNumber"/>
        <w:spacing w:after="80" w:line="264" w:lineRule="auto"/>
      </w:pPr>
      <w:r>
        <w:rPr>
          <w:rFonts w:ascii="Calibri" w:hAnsi="Calibri" w:eastAsia="Calibri"/>
          <w:b w:val="0"/>
          <w:sz w:val="22"/>
        </w:rPr>
        <w:t>Ejecutar go mod download para descargar las dependencias del backend.</w:t>
      </w:r>
    </w:p>
    <w:p>
      <w:pPr>
        <w:pStyle w:val="ListNumber"/>
        <w:spacing w:after="80" w:line="264" w:lineRule="auto"/>
      </w:pPr>
      <w:r>
        <w:rPr>
          <w:rFonts w:ascii="Calibri" w:hAnsi="Calibri" w:eastAsia="Calibri"/>
          <w:b w:val="0"/>
          <w:sz w:val="22"/>
        </w:rPr>
        <w:t>Iniciar el backend con go run ./cmd. La API quedará disponible en http://localhost:8080.</w:t>
      </w:r>
    </w:p>
    <w:p>
      <w:pPr>
        <w:pStyle w:val="ListNumber"/>
        <w:spacing w:after="80" w:line="264" w:lineRule="auto"/>
      </w:pPr>
      <w:r>
        <w:rPr>
          <w:rFonts w:ascii="Calibri" w:hAnsi="Calibri" w:eastAsia="Calibri"/>
          <w:b w:val="0"/>
          <w:sz w:val="22"/>
        </w:rPr>
        <w:t>Abrir una segunda terminal y entrar a la carpeta frontend.</w:t>
      </w:r>
    </w:p>
    <w:p>
      <w:pPr>
        <w:pStyle w:val="ListNumber"/>
        <w:spacing w:after="80" w:line="264" w:lineRule="auto"/>
      </w:pPr>
      <w:r>
        <w:rPr>
          <w:rFonts w:ascii="Calibri" w:hAnsi="Calibri" w:eastAsia="Calibri"/>
          <w:b w:val="0"/>
          <w:sz w:val="22"/>
        </w:rPr>
        <w:t>Ejecutar npm install si las dependencias del frontend aún no están instaladas.</w:t>
      </w:r>
    </w:p>
    <w:p>
      <w:pPr>
        <w:pStyle w:val="ListNumber"/>
        <w:spacing w:after="80" w:line="264" w:lineRule="auto"/>
      </w:pPr>
      <w:r>
        <w:rPr>
          <w:rFonts w:ascii="Calibri" w:hAnsi="Calibri" w:eastAsia="Calibri"/>
          <w:b w:val="0"/>
          <w:sz w:val="22"/>
        </w:rPr>
        <w:t>Verificar que frontend/.env.local apunte a http://localhost:8080/api.</w:t>
      </w:r>
    </w:p>
    <w:p>
      <w:pPr>
        <w:pStyle w:val="ListNumber"/>
        <w:spacing w:after="80" w:line="264" w:lineRule="auto"/>
      </w:pPr>
      <w:r>
        <w:rPr>
          <w:rFonts w:ascii="Calibri" w:hAnsi="Calibri" w:eastAsia="Calibri"/>
          <w:b w:val="0"/>
          <w:sz w:val="22"/>
        </w:rPr>
        <w:t>Iniciar la interfaz con npm run dev. El proyecto está configurado para usar Webpack y evitar el fallo previo de Turbopack.</w:t>
      </w:r>
    </w:p>
    <w:p>
      <w:pPr>
        <w:pStyle w:val="ListNumber"/>
        <w:spacing w:after="80" w:line="264" w:lineRule="auto"/>
      </w:pPr>
      <w:r>
        <w:rPr>
          <w:rFonts w:ascii="Calibri" w:hAnsi="Calibri" w:eastAsia="Calibri"/>
          <w:b w:val="0"/>
          <w:sz w:val="22"/>
        </w:rPr>
        <w:t>Abrir http://localhost:3000/login en el navegador.</w:t>
      </w:r>
    </w:p>
    <w:p>
      <w:pPr>
        <w:pStyle w:val="Heading2"/>
        <w:spacing w:before="240" w:after="120"/>
      </w:pPr>
      <w:r>
        <w:rPr>
          <w:rFonts w:ascii="Calibri" w:hAnsi="Calibri" w:eastAsia="Calibri"/>
          <w:b/>
          <w:color w:val="2E74B5"/>
          <w:sz w:val="26"/>
        </w:rPr>
        <w:t>Flujo básico de navegación</w:t>
      </w:r>
    </w:p>
    <w:p>
      <w:pPr>
        <w:pStyle w:val="ListBullet"/>
        <w:spacing w:after="80" w:line="264" w:lineRule="auto"/>
      </w:pPr>
      <w:r>
        <w:rPr>
          <w:rFonts w:ascii="Calibri" w:hAnsi="Calibri" w:eastAsia="Calibri"/>
          <w:b w:val="0"/>
          <w:sz w:val="22"/>
        </w:rPr>
        <w:t>Ingresar como administrador con admin@educationmaxxing.com y admin1234.</w:t>
      </w:r>
    </w:p>
    <w:p>
      <w:pPr>
        <w:pStyle w:val="ListBullet"/>
        <w:spacing w:after="80" w:line="264" w:lineRule="auto"/>
      </w:pPr>
      <w:r>
        <w:rPr>
          <w:rFonts w:ascii="Calibri" w:hAnsi="Calibri" w:eastAsia="Calibri"/>
          <w:b w:val="0"/>
          <w:sz w:val="22"/>
        </w:rPr>
        <w:t>Desde Users, crear un profesor y un alumno. Después, desde Courses, crear un curso y asignarlo al profesor.</w:t>
      </w:r>
    </w:p>
    <w:p>
      <w:pPr>
        <w:pStyle w:val="ListBullet"/>
        <w:spacing w:after="80" w:line="264" w:lineRule="auto"/>
      </w:pPr>
      <w:r>
        <w:rPr>
          <w:rFonts w:ascii="Calibri" w:hAnsi="Calibri" w:eastAsia="Calibri"/>
          <w:b w:val="0"/>
          <w:sz w:val="22"/>
        </w:rPr>
        <w:t>Regresar a Users e inscribir el alumno en el curso creado.</w:t>
      </w:r>
    </w:p>
    <w:p>
      <w:pPr>
        <w:pStyle w:val="ListBullet"/>
        <w:spacing w:after="80" w:line="264" w:lineRule="auto"/>
      </w:pPr>
      <w:r>
        <w:rPr>
          <w:rFonts w:ascii="Calibri" w:hAnsi="Calibri" w:eastAsia="Calibri"/>
          <w:b w:val="0"/>
          <w:sz w:val="22"/>
        </w:rPr>
        <w:t>Cerrar sesión e ingresar como profesor para abrir el curso y crear una asignación.</w:t>
      </w:r>
    </w:p>
    <w:p>
      <w:pPr>
        <w:pStyle w:val="ListBullet"/>
        <w:spacing w:after="80" w:line="264" w:lineRule="auto"/>
      </w:pPr>
      <w:r>
        <w:rPr>
          <w:rFonts w:ascii="Calibri" w:hAnsi="Calibri" w:eastAsia="Calibri"/>
          <w:b w:val="0"/>
          <w:sz w:val="22"/>
        </w:rPr>
        <w:t>Cerrar sesión e ingresar como alumno para abrir la asignación, probar un archivo inválido y posteriormente subir un archivo válido.</w:t>
      </w:r>
    </w:p>
    <w:p>
      <w:pPr>
        <w:pStyle w:val="Heading2"/>
        <w:spacing w:before="240" w:after="120"/>
      </w:pPr>
      <w:r>
        <w:rPr>
          <w:rFonts w:ascii="Calibri" w:hAnsi="Calibri" w:eastAsia="Calibri"/>
          <w:b/>
          <w:color w:val="2E74B5"/>
          <w:sz w:val="26"/>
        </w:rPr>
        <w:t>Datos usados en la captura</w:t>
      </w:r>
    </w:p>
    <w:p>
      <w:pPr>
        <w:spacing w:after="120" w:line="264" w:lineRule="auto"/>
      </w:pPr>
      <w:r>
        <w:rPr>
          <w:rFonts w:ascii="Calibri" w:hAnsi="Calibri" w:eastAsia="Calibri"/>
          <w:b w:val="0"/>
          <w:color w:val="000000"/>
          <w:sz w:val="22"/>
        </w:rPr>
        <w:t>Profesor: profesor.demo.1782352993821@university.edu. Alumno: alumno.demo.1782352993821@university.edu. Curso: Arquitectura MVP 93821. Asignación: Entrega Demo 93821.</w:t>
      </w:r>
    </w:p>
    <w:p>
      <w:pPr>
        <w:pStyle w:val="Heading1"/>
        <w:spacing w:before="320" w:after="160"/>
      </w:pPr>
      <w:r>
        <w:rPr>
          <w:rFonts w:ascii="Calibri" w:hAnsi="Calibri" w:eastAsia="Calibri"/>
          <w:b/>
          <w:color w:val="2E74B5"/>
          <w:sz w:val="32"/>
        </w:rPr>
        <w:t>6.3 Evidencias del Sistema en Ejecución</w:t>
      </w:r>
    </w:p>
    <w:p>
      <w:pPr>
        <w:pStyle w:val="Heading2"/>
        <w:spacing w:before="240" w:after="120"/>
      </w:pPr>
      <w:r>
        <w:rPr>
          <w:rFonts w:ascii="Calibri" w:hAnsi="Calibri" w:eastAsia="Calibri"/>
          <w:b/>
          <w:color w:val="2E74B5"/>
          <w:sz w:val="26"/>
        </w:rPr>
        <w:t>Captura 1: Pantalla de inicio del administrador</w:t>
      </w:r>
    </w:p>
    <w:p>
      <w:pPr>
        <w:jc w:val="center"/>
      </w:pPr>
      <w:r>
        <w:drawing>
          <wp:inline xmlns:a="http://schemas.openxmlformats.org/drawingml/2006/main" xmlns:pic="http://schemas.openxmlformats.org/drawingml/2006/picture">
            <wp:extent cx="5623560" cy="3905250"/>
            <wp:docPr id="1" name="Picture 1"/>
            <wp:cNvGraphicFramePr>
              <a:graphicFrameLocks noChangeAspect="1"/>
            </wp:cNvGraphicFramePr>
            <a:graphic>
              <a:graphicData uri="http://schemas.openxmlformats.org/drawingml/2006/picture">
                <pic:pic>
                  <pic:nvPicPr>
                    <pic:cNvPr id="0" name="01_inicio_dashboard_admin.png"/>
                    <pic:cNvPicPr/>
                  </pic:nvPicPr>
                  <pic:blipFill>
                    <a:blip r:embed="rId9"/>
                    <a:stretch>
                      <a:fillRect/>
                    </a:stretch>
                  </pic:blipFill>
                  <pic:spPr>
                    <a:xfrm>
                      <a:off x="0" y="0"/>
                      <a:ext cx="5623560" cy="3905250"/>
                    </a:xfrm>
                    <a:prstGeom prst="rect"/>
                  </pic:spPr>
                </pic:pic>
              </a:graphicData>
            </a:graphic>
          </wp:inline>
        </w:drawing>
      </w:r>
    </w:p>
    <w:p>
      <w:pPr>
        <w:spacing w:before="80" w:after="160"/>
        <w:jc w:val="center"/>
      </w:pPr>
      <w:r>
        <w:rPr>
          <w:rFonts w:ascii="Calibri" w:hAnsi="Calibri" w:eastAsia="Calibri"/>
          <w:b/>
          <w:color w:val="555555"/>
          <w:sz w:val="18"/>
        </w:rPr>
        <w:t>Evidencia: 01_inicio_dashboard_admin.png</w:t>
      </w:r>
    </w:p>
    <w:p>
      <w:pPr>
        <w:spacing w:after="120" w:line="264" w:lineRule="auto"/>
      </w:pPr>
      <w:r>
        <w:rPr>
          <w:rFonts w:ascii="Calibri" w:hAnsi="Calibri" w:eastAsia="Calibri"/>
          <w:b w:val="0"/>
          <w:color w:val="000000"/>
          <w:sz w:val="22"/>
        </w:rPr>
        <w:t>La captura muestra el ingreso exitoso del usuario administrador al panel principal del sistema. En esta pantalla se identifica la capa de presentación web, compuesta por el layout autenticado, el menú lateral y la vista de resumen de plataforma. Arquitectónicamente, este estado confirma que el login fue validado por el handler HTTP de autenticación, que el token JWT fue almacenado por el frontend y que la sesión permite cargar vistas protegidas.</w:t>
      </w:r>
    </w:p>
    <w:p>
      <w:pPr>
        <w:pStyle w:val="Heading2"/>
        <w:spacing w:before="240" w:after="120"/>
      </w:pPr>
      <w:r>
        <w:rPr>
          <w:rFonts w:ascii="Calibri" w:hAnsi="Calibri" w:eastAsia="Calibri"/>
          <w:b/>
          <w:color w:val="2E74B5"/>
          <w:sz w:val="26"/>
        </w:rPr>
        <w:t>Captura 2: Entrega exitosa de una tarea</w:t>
      </w:r>
    </w:p>
    <w:p>
      <w:pPr>
        <w:jc w:val="center"/>
      </w:pPr>
      <w:r>
        <w:drawing>
          <wp:inline xmlns:a="http://schemas.openxmlformats.org/drawingml/2006/main" xmlns:pic="http://schemas.openxmlformats.org/drawingml/2006/picture">
            <wp:extent cx="5623560" cy="3905250"/>
            <wp:docPr id="2" name="Picture 2"/>
            <wp:cNvGraphicFramePr>
              <a:graphicFrameLocks noChangeAspect="1"/>
            </wp:cNvGraphicFramePr>
            <a:graphic>
              <a:graphicData uri="http://schemas.openxmlformats.org/drawingml/2006/picture">
                <pic:pic>
                  <pic:nvPicPr>
                    <pic:cNvPr id="0" name="02_entrega_exitosa.png"/>
                    <pic:cNvPicPr/>
                  </pic:nvPicPr>
                  <pic:blipFill>
                    <a:blip r:embed="rId10"/>
                    <a:stretch>
                      <a:fillRect/>
                    </a:stretch>
                  </pic:blipFill>
                  <pic:spPr>
                    <a:xfrm>
                      <a:off x="0" y="0"/>
                      <a:ext cx="5623560" cy="3905250"/>
                    </a:xfrm>
                    <a:prstGeom prst="rect"/>
                  </pic:spPr>
                </pic:pic>
              </a:graphicData>
            </a:graphic>
          </wp:inline>
        </w:drawing>
      </w:r>
    </w:p>
    <w:p>
      <w:pPr>
        <w:spacing w:before="80" w:after="160"/>
        <w:jc w:val="center"/>
      </w:pPr>
      <w:r>
        <w:rPr>
          <w:rFonts w:ascii="Calibri" w:hAnsi="Calibri" w:eastAsia="Calibri"/>
          <w:b/>
          <w:color w:val="555555"/>
          <w:sz w:val="18"/>
        </w:rPr>
        <w:t>Evidencia: 02_entrega_exitosa.png</w:t>
      </w:r>
    </w:p>
    <w:p>
      <w:pPr>
        <w:spacing w:after="120" w:line="264" w:lineRule="auto"/>
      </w:pPr>
      <w:r>
        <w:rPr>
          <w:rFonts w:ascii="Calibri" w:hAnsi="Calibri" w:eastAsia="Calibri"/>
          <w:b w:val="0"/>
          <w:color w:val="000000"/>
          <w:sz w:val="22"/>
        </w:rPr>
        <w:t>La captura muestra el caso de uso principal del alumno: subir un archivo válido a una asignación existente. El sistema devuelve una confirmación con identificador de entrega y registra el historial de la submission como confirmada. En la arquitectura se observa la interacción entre el handler de entregas, SubmissionService, el repositorio de submissions y el puerto FileStorage, que guarda físicamente el archivo en almacenamiento local.</w:t>
      </w:r>
    </w:p>
    <w:p>
      <w:pPr>
        <w:pStyle w:val="Heading2"/>
        <w:spacing w:before="240" w:after="120"/>
      </w:pPr>
      <w:r>
        <w:rPr>
          <w:rFonts w:ascii="Calibri" w:hAnsi="Calibri" w:eastAsia="Calibri"/>
          <w:b/>
          <w:color w:val="2E74B5"/>
          <w:sz w:val="26"/>
        </w:rPr>
        <w:t>Captura 3: Manejo de error por archivo inválido</w:t>
      </w:r>
    </w:p>
    <w:p>
      <w:pPr>
        <w:jc w:val="center"/>
      </w:pPr>
      <w:r>
        <w:drawing>
          <wp:inline xmlns:a="http://schemas.openxmlformats.org/drawingml/2006/main" xmlns:pic="http://schemas.openxmlformats.org/drawingml/2006/picture">
            <wp:extent cx="5623560" cy="3905250"/>
            <wp:docPr id="3" name="Picture 3"/>
            <wp:cNvGraphicFramePr>
              <a:graphicFrameLocks noChangeAspect="1"/>
            </wp:cNvGraphicFramePr>
            <a:graphic>
              <a:graphicData uri="http://schemas.openxmlformats.org/drawingml/2006/picture">
                <pic:pic>
                  <pic:nvPicPr>
                    <pic:cNvPr id="0" name="03_error_archivo_invalido.png"/>
                    <pic:cNvPicPr/>
                  </pic:nvPicPr>
                  <pic:blipFill>
                    <a:blip r:embed="rId11"/>
                    <a:stretch>
                      <a:fillRect/>
                    </a:stretch>
                  </pic:blipFill>
                  <pic:spPr>
                    <a:xfrm>
                      <a:off x="0" y="0"/>
                      <a:ext cx="5623560" cy="3905250"/>
                    </a:xfrm>
                    <a:prstGeom prst="rect"/>
                  </pic:spPr>
                </pic:pic>
              </a:graphicData>
            </a:graphic>
          </wp:inline>
        </w:drawing>
      </w:r>
    </w:p>
    <w:p>
      <w:pPr>
        <w:spacing w:before="80" w:after="160"/>
        <w:jc w:val="center"/>
      </w:pPr>
      <w:r>
        <w:rPr>
          <w:rFonts w:ascii="Calibri" w:hAnsi="Calibri" w:eastAsia="Calibri"/>
          <w:b/>
          <w:color w:val="555555"/>
          <w:sz w:val="18"/>
        </w:rPr>
        <w:t>Evidencia: 03_error_archivo_invalido.png</w:t>
      </w:r>
    </w:p>
    <w:p>
      <w:pPr>
        <w:spacing w:after="120" w:line="264" w:lineRule="auto"/>
      </w:pPr>
      <w:r>
        <w:rPr>
          <w:rFonts w:ascii="Calibri" w:hAnsi="Calibri" w:eastAsia="Calibri"/>
          <w:b w:val="0"/>
          <w:color w:val="000000"/>
          <w:sz w:val="22"/>
        </w:rPr>
        <w:t>La captura evidencia el manejo de excepciones cuando el alumno intenta subir un archivo ejecutable no permitido. La interfaz conserva el contexto de la asignación y muestra el mensaje file type is not allowed sin romper el flujo del usuario. Este comportamiento está alineado con la capa de aplicación, donde SubmissionService valida el tipo de archivo antes de persistirlo, y con la capa HTTP, que transforma el error en una respuesta controlada.</w:t>
      </w:r>
    </w:p>
    <w:sectPr w:rsidR="00FC693F" w:rsidRPr="0006063C" w:rsidSect="00034616">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55555"/>
        <w:sz w:val="18"/>
      </w:rPr>
      <w:t>EducationMaxxingMVP - Documentación del demo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