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StudentEngagement</w:t>
      </w:r>
    </w:p>
    <w:p>
      <w:pPr>
        <w:pStyle w:val="Heading2"/>
        <w:jc w:val="left"/>
        <w:rPr/>
      </w:pPr>
      <w:r>
        <w:rPr/>
        <w:t>Contributors</w:t>
      </w:r>
    </w:p>
    <w:p>
      <w:pPr>
        <w:pStyle w:val="Heading3"/>
        <w:jc w:val="center"/>
        <w:rPr/>
      </w:pPr>
      <w:r>
        <w:rPr/>
        <w:t>Taxonomy Formula: tF{~d,t,</w:t>
      </w:r>
      <w:r>
        <w:rPr/>
        <w:t>g,</w:t>
      </w:r>
      <w:r>
        <w:rPr/>
        <w:t>SC}</w:t>
      </w:r>
    </w:p>
    <w:p>
      <w:pPr>
        <w:pStyle w:val="Heading1"/>
        <w:jc w:val="center"/>
        <w:rPr/>
      </w:pPr>
      <w:r>
        <w:rPr/>
        <w:t>Token Specification Summary</w:t>
      </w:r>
    </w:p>
    <w:p>
      <w:pPr>
        <w:pStyle w:val="Heading2"/>
        <w:jc w:val="left"/>
        <w:rPr/>
      </w:pPr>
      <w:r>
        <w:rPr/>
        <w:t>Token Classification</w:t>
      </w:r>
    </w:p>
    <w:p>
      <w:pPr>
        <w:pStyle w:val="Normal"/>
        <w:jc w:val="left"/>
        <w:rPr/>
      </w:pPr>
      <w:r>
        <w:rPr/>
      </w:r>
    </w:p>
    <w:p>
      <w:pPr>
        <w:pStyle w:val="Quote"/>
        <w:jc w:val="left"/>
        <w:rPr/>
      </w:pPr>
      <w:r>
        <w:rPr/>
        <w:t>This is a Transferable Whole Fungible Token that uses the behavior group Supply Control to manage the circulating supply, so at creation can be set an initial supply that can be increased or removed as needed. It is whole by setting the decimals property on the dividable behavior to 0, that way it cannot be fractioned. It’s Transferable, which means that the owner can transfer the ownership of the tokens to another party.</w:t>
      </w:r>
    </w:p>
    <w:p>
      <w:pPr>
        <w:pStyle w:val="Heading3"/>
        <w:jc w:val="left"/>
        <w:rPr/>
      </w:pPr>
      <w:r>
        <w:rPr/>
        <w:t>Example</w:t>
      </w:r>
    </w:p>
    <w:p>
      <w:pPr>
        <w:pStyle w:val="Normal"/>
        <w:jc w:val="left"/>
        <w:rPr/>
      </w:pPr>
      <w:r>
        <w:rPr/>
        <w:t>This token definition’s purpose is to reflect how committed is a student to a course and other students in the course. This token will be the unit to represent soft skills, such as: interpersonal skills, communication skills, leadership, critical thinking, positive attitude, teamwork and work ethic.</w:t>
      </w:r>
    </w:p>
    <w:p>
      <w:pPr>
        <w:pStyle w:val="Heading3"/>
        <w:jc w:val="left"/>
        <w:rPr/>
      </w:pPr>
      <w:r>
        <w:rPr/>
        <w:t>Analogies</w:t>
      </w:r>
    </w:p>
    <w:p>
      <w:pPr>
        <w:pStyle w:val="Normal"/>
        <w:jc w:val="left"/>
        <w:rPr/>
      </w:pPr>
      <w:r>
        <w:rPr/>
        <w:t>A student can earn a point/token for how committed is with the course and its classmates.</w:t>
      </w:r>
    </w:p>
    <w:p>
      <w:pPr>
        <w:pStyle w:val="Heading1"/>
        <w:jc w:val="left"/>
        <w:rPr/>
      </w:pPr>
      <w:r>
        <w:rPr/>
        <w:t>StudentEngagement is:</w:t>
      </w:r>
    </w:p>
    <w:p>
      <w:pPr>
        <w:pStyle w:val="Normal"/>
        <w:numPr>
          <w:ilvl w:val="0"/>
          <w:numId w:val="1"/>
        </w:numPr>
        <w:spacing w:before="0" w:after="0"/>
        <w:ind w:left="720" w:right="0" w:hanging="360"/>
        <w:rPr/>
      </w:pPr>
      <w:r>
        <w:rPr/>
        <w:t>Indivisible</w:t>
      </w:r>
    </w:p>
    <w:p>
      <w:pPr>
        <w:pStyle w:val="Normal"/>
        <w:numPr>
          <w:ilvl w:val="0"/>
          <w:numId w:val="1"/>
        </w:numPr>
        <w:spacing w:before="0" w:after="0"/>
        <w:ind w:left="720" w:right="0" w:hanging="360"/>
        <w:rPr/>
      </w:pPr>
      <w:r>
        <w:rPr/>
        <w:t>Transferable</w:t>
      </w:r>
    </w:p>
    <w:p>
      <w:pPr>
        <w:pStyle w:val="Normal"/>
        <w:numPr>
          <w:ilvl w:val="0"/>
          <w:numId w:val="1"/>
        </w:numPr>
        <w:spacing w:before="0" w:after="0"/>
        <w:ind w:left="720" w:right="0" w:hanging="360"/>
        <w:rPr/>
      </w:pPr>
      <w:r>
        <w:rPr/>
        <w:t>Delegable</w:t>
      </w:r>
    </w:p>
    <w:p>
      <w:pPr>
        <w:pStyle w:val="Normal"/>
        <w:numPr>
          <w:ilvl w:val="0"/>
          <w:numId w:val="1"/>
        </w:numPr>
        <w:spacing w:before="0" w:after="0"/>
        <w:ind w:left="720" w:right="0" w:hanging="360"/>
        <w:rPr/>
      </w:pPr>
      <w:r>
        <w:rPr/>
        <w:t>Mintable</w:t>
      </w:r>
    </w:p>
    <w:p>
      <w:pPr>
        <w:pStyle w:val="Normal"/>
        <w:numPr>
          <w:ilvl w:val="0"/>
          <w:numId w:val="1"/>
        </w:numPr>
        <w:spacing w:before="0" w:after="0"/>
        <w:ind w:left="720" w:right="0" w:hanging="360"/>
        <w:rPr/>
      </w:pPr>
      <w:r>
        <w:rPr/>
        <w:t>Burnable</w:t>
      </w:r>
    </w:p>
    <w:p>
      <w:pPr>
        <w:pStyle w:val="Normal"/>
        <w:numPr>
          <w:ilvl w:val="0"/>
          <w:numId w:val="1"/>
        </w:numPr>
        <w:spacing w:before="0" w:after="0"/>
        <w:ind w:left="720" w:right="0" w:hanging="360"/>
        <w:rPr/>
      </w:pPr>
      <w:r>
        <w:rPr/>
        <w:t>Roles</w:t>
      </w:r>
    </w:p>
    <w:p>
      <w:pPr>
        <w:pStyle w:val="Heading1"/>
        <w:jc w:val="center"/>
        <w:rPr/>
      </w:pPr>
      <w:r>
        <w:rPr/>
        <w:t>StudentEngagement Details</w:t>
      </w:r>
    </w:p>
    <w:p>
      <w:pPr>
        <w:pStyle w:val="Heading2"/>
        <w:jc w:val="center"/>
        <w:rPr/>
      </w:pPr>
      <w:r>
        <w:rPr/>
        <w:t>Whole Fungible</w:t>
      </w:r>
    </w:p>
    <w:tbl>
      <w:tblPr>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Type:</w:t>
            </w:r>
          </w:p>
        </w:tc>
        <w:tc>
          <w:tcPr>
            <w:tcW w:w="4986"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Base</w:t>
            </w:r>
          </w:p>
        </w:tc>
      </w:tr>
      <w:tr>
        <w:trPr/>
        <w:tc>
          <w:tcPr>
            <w:tcW w:w="9971" w:type="dxa"/>
            <w:gridSpan w:val="2"/>
            <w:tcBorders/>
            <w:shd w:fill="D1EEF9" w:val="clear"/>
          </w:tcPr>
          <w:p>
            <w:pPr>
              <w:pStyle w:val="Normal"/>
              <w:spacing w:before="0" w:after="160"/>
              <w:rPr>
                <w:b/>
                <w:b/>
                <w:bCs/>
              </w:rPr>
            </w:pPr>
            <w:r>
              <w:rPr>
                <w:b/>
                <w:bCs/>
              </w:rPr>
              <w:t>Whole Fungible</w:t>
            </w:r>
          </w:p>
        </w:tc>
      </w:tr>
      <w:tr>
        <w:trPr/>
        <w:tc>
          <w:tcPr>
            <w:tcW w:w="4985" w:type="dxa"/>
            <w:tcBorders/>
          </w:tcPr>
          <w:p>
            <w:pPr>
              <w:pStyle w:val="Normal"/>
              <w:spacing w:before="0" w:after="160"/>
              <w:rPr>
                <w:b/>
                <w:b/>
                <w:bCs/>
              </w:rPr>
            </w:pPr>
            <w:r>
              <w:rPr>
                <w:b/>
                <w:bCs/>
              </w:rPr>
              <w:t>Id:</w:t>
            </w:r>
          </w:p>
        </w:tc>
        <w:tc>
          <w:tcPr>
            <w:tcW w:w="4986" w:type="dxa"/>
            <w:tcBorders/>
          </w:tcPr>
          <w:p>
            <w:pPr>
              <w:pStyle w:val="Normal"/>
              <w:widowControl/>
              <w:bidi w:val="0"/>
              <w:spacing w:lineRule="auto" w:line="300" w:before="0" w:after="160"/>
              <w:jc w:val="left"/>
              <w:rPr/>
            </w:pPr>
            <w:r>
              <w:rPr/>
              <w:t>b1eacdf8-35d8-454a-b1af-92eb0b6f45d4</w:t>
            </w:r>
          </w:p>
        </w:tc>
      </w:tr>
      <w:tr>
        <w:trPr/>
        <w:tc>
          <w:tcPr>
            <w:tcW w:w="9971" w:type="dxa"/>
            <w:gridSpan w:val="2"/>
            <w:tcBorders/>
            <w:shd w:fill="D1EEF9" w:val="clear"/>
          </w:tcPr>
          <w:p>
            <w:pPr>
              <w:pStyle w:val="Normal"/>
              <w:spacing w:before="0" w:after="160"/>
              <w:rPr>
                <w:b/>
                <w:b/>
                <w:bCs/>
              </w:rPr>
            </w:pPr>
            <w:r>
              <w:rPr>
                <w:b/>
                <w:bCs/>
              </w:rPr>
              <w:t>&amp;tau;&lt;sub&gt;F&lt;/sub&gt;{&lt;i&gt;~d&lt;/i&gt;}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widowControl/>
              <w:bidi w:val="0"/>
              <w:spacing w:lineRule="auto" w:line="300" w:before="0" w:after="160"/>
              <w:jc w:val="left"/>
              <w:rPr/>
            </w:pPr>
            <w:r>
              <w:rPr/>
              <w:t>tF{~d}</w:t>
            </w:r>
          </w:p>
        </w:tc>
      </w:tr>
      <w:tr>
        <w:trPr/>
        <w:tc>
          <w:tcPr>
            <w:tcW w:w="9971" w:type="dxa"/>
            <w:gridSpan w:val="2"/>
            <w:tcBorders/>
            <w:shd w:fill="D1EEF9" w:val="clear"/>
          </w:tcPr>
          <w:p>
            <w:pPr>
              <w:pStyle w:val="Normal"/>
              <w:spacing w:before="0" w:after="160"/>
              <w:rPr>
                <w:b/>
                <w:b/>
                <w:bCs/>
              </w:rPr>
            </w:pPr>
            <w:r>
              <w:rPr>
                <w:b/>
                <w:bCs/>
              </w:rPr>
              <w:t>1.0</w:t>
            </w:r>
          </w:p>
        </w:tc>
      </w:tr>
    </w:tbl>
    <w:p>
      <w:pPr>
        <w:pStyle w:val="Heading2"/>
        <w:jc w:val="left"/>
        <w:rPr/>
      </w:pPr>
      <w:r>
        <w:rPr/>
        <w:t>Definition</w:t>
      </w:r>
    </w:p>
    <w:p>
      <w:pPr>
        <w:pStyle w:val="Quote"/>
        <w:jc w:val="left"/>
        <w:rPr/>
      </w:pPr>
      <w:r>
        <w:rP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rPr/>
      </w:pPr>
      <w:r>
        <w:rPr/>
        <w:t>Example</w:t>
      </w:r>
    </w:p>
    <w:p>
      <w:pPr>
        <w:pStyle w:val="Normal"/>
        <w:jc w:val="left"/>
        <w:rPr/>
      </w:pPr>
      <w:r>
        <w:rPr/>
        <w:t>An inventory item or SKU, where an item is treated as a whole because it makes no sense to own a fraction of a SKU or loyalty point.</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Loyalty Points</w:t>
            </w:r>
          </w:p>
        </w:tc>
        <w:tc>
          <w:tcPr>
            <w:tcW w:w="6734" w:type="dxa"/>
            <w:tcBorders/>
          </w:tcPr>
          <w:p>
            <w:pPr>
              <w:pStyle w:val="Normal"/>
              <w:spacing w:before="0" w:after="160"/>
              <w:rPr/>
            </w:pPr>
            <w:r>
              <w:rPr/>
              <w:t>Most credit card or retail loyalty point programs deal with whole numbers so that redeeming points is easy to understand for their customers.</w:t>
            </w:r>
          </w:p>
        </w:tc>
      </w:tr>
      <w:tr>
        <w:trPr/>
        <w:tc>
          <w:tcPr>
            <w:tcW w:w="3237" w:type="dxa"/>
            <w:tcBorders/>
          </w:tcPr>
          <w:p>
            <w:pPr>
              <w:pStyle w:val="Normal"/>
              <w:rPr>
                <w:b/>
                <w:b/>
                <w:bCs/>
              </w:rPr>
            </w:pPr>
            <w:r>
              <w:rPr>
                <w:b/>
                <w:bCs/>
              </w:rPr>
              <w:t xml:space="preserve">General Admission </w:t>
            </w:r>
          </w:p>
          <w:p>
            <w:pPr>
              <w:pStyle w:val="Normal"/>
              <w:spacing w:before="0" w:after="160"/>
              <w:rPr>
                <w:b/>
                <w:b/>
                <w:bCs/>
              </w:rPr>
            </w:pPr>
            <w:r>
              <w:rPr>
                <w:b/>
                <w:bCs/>
              </w:rPr>
              <w:t>Movie Ticket</w:t>
            </w:r>
          </w:p>
        </w:tc>
        <w:tc>
          <w:tcPr>
            <w:tcW w:w="6734" w:type="dxa"/>
            <w:tcBorders/>
          </w:tcPr>
          <w:p>
            <w:pPr>
              <w:pStyle w:val="Normal"/>
              <w:spacing w:before="0" w:after="160"/>
              <w:rPr/>
            </w:pPr>
            <w:r>
              <w:rPr/>
              <w:t>Purchasing a general admission ticket to a movie only allows for you to have a seat, but the seat that you actually get depends on actors like when you arrive. Your not likely to want to share a seat with another adult.</w:t>
            </w:r>
          </w:p>
        </w:tc>
      </w:tr>
    </w:tbl>
    <w:p>
      <w:pPr>
        <w:pStyle w:val="Heading2"/>
        <w:jc w:val="left"/>
        <w:rPr/>
      </w:pPr>
      <w:r>
        <w:rPr/>
        <w:t>Definition</w:t>
      </w:r>
    </w:p>
    <w:p>
      <w:pPr>
        <w:pStyle w:val="Normal"/>
        <w:jc w:val="left"/>
        <w:rPr/>
      </w:pPr>
      <w:r>
        <w:rPr/>
      </w:r>
    </w:p>
    <w:p>
      <w:pPr>
        <w:pStyle w:val="Heading2"/>
        <w:jc w:val="left"/>
        <w:rPr/>
      </w:pPr>
      <w:r>
        <w:rPr/>
        <w:t>Dependencies</w:t>
      </w:r>
    </w:p>
    <w:tbl>
      <w:tblPr>
        <w:tblStyle w:val="GridTable4-Accent1"/>
        <w:tblW w:w="5000" w:type="pct"/>
        <w:jc w:val="left"/>
        <w:tblInd w:w="0" w:type="dxa"/>
        <w:tblCellMar>
          <w:top w:w="0" w:type="dxa"/>
          <w:left w:w="108" w:type="dxa"/>
          <w:bottom w:w="0" w:type="dxa"/>
          <w:right w:w="108" w:type="dxa"/>
        </w:tblCellMar>
      </w:tblPr>
      <w:tblGrid>
        <w:gridCol w:w="3060"/>
        <w:gridCol w:w="1348"/>
        <w:gridCol w:w="5564"/>
      </w:tblGrid>
      <w:tr>
        <w:trPr/>
        <w:tc>
          <w:tcPr>
            <w:tcW w:w="306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348"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556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060" w:type="dxa"/>
            <w:tcBorders/>
          </w:tcPr>
          <w:p>
            <w:pPr>
              <w:pStyle w:val="Normal"/>
              <w:spacing w:before="0" w:after="160"/>
              <w:rPr>
                <w:b/>
                <w:b/>
                <w:bCs/>
              </w:rPr>
            </w:pPr>
            <w:r>
              <w:rPr>
                <w:b/>
                <w:bCs/>
              </w:rPr>
              <w:t>Base</w:t>
            </w:r>
          </w:p>
        </w:tc>
        <w:tc>
          <w:tcPr>
            <w:tcW w:w="1348" w:type="dxa"/>
            <w:tcBorders/>
          </w:tcPr>
          <w:p>
            <w:pPr>
              <w:pStyle w:val="Normal"/>
              <w:spacing w:before="0" w:after="160"/>
              <w:rPr>
                <w:b/>
                <w:b/>
                <w:bCs/>
              </w:rPr>
            </w:pPr>
            <w:r>
              <w:rPr>
                <w:b/>
                <w:bCs/>
              </w:rPr>
              <w:t>t</w:t>
            </w:r>
          </w:p>
        </w:tc>
        <w:tc>
          <w:tcPr>
            <w:tcW w:w="5564" w:type="dxa"/>
            <w:tcBorders/>
          </w:tcPr>
          <w:p>
            <w:pPr>
              <w:pStyle w:val="Normal"/>
              <w:spacing w:before="0" w:after="160"/>
              <w:rPr/>
            </w:pPr>
            <w:r>
              <w:rPr/>
              <w:t>Base Token Definition</w:t>
            </w:r>
          </w:p>
        </w:tc>
      </w:tr>
    </w:tbl>
    <w:p>
      <w:pPr>
        <w:pStyle w:val="Normal"/>
        <w:rPr>
          <w:rFonts w:eastAsia="" w:cs="" w:asciiTheme="majorHAnsi" w:cstheme="majorBidi" w:eastAsiaTheme="majorEastAsia" w:hAnsiTheme="majorHAnsi"/>
          <w:sz w:val="36"/>
          <w:szCs w:val="32"/>
          <w:u w:val="single"/>
        </w:rPr>
      </w:pPr>
      <w:r>
        <w:rPr>
          <w:rFonts w:eastAsia="" w:cs="" w:asciiTheme="majorHAnsi" w:cstheme="majorBidi" w:eastAsiaTheme="majorEastAsia" w:hAnsiTheme="majorHAnsi"/>
          <w:sz w:val="36"/>
          <w:szCs w:val="32"/>
          <w:u w:val="single"/>
        </w:rPr>
      </w:r>
    </w:p>
    <w:p>
      <w:pPr>
        <w:pStyle w:val="Normal"/>
        <w:rPr/>
      </w:pPr>
      <w:r>
        <w:rPr>
          <w:rFonts w:eastAsia="" w:cs="" w:asciiTheme="majorHAnsi" w:cstheme="majorBidi" w:eastAsiaTheme="majorEastAsia" w:hAnsiTheme="majorHAnsi"/>
          <w:sz w:val="36"/>
          <w:szCs w:val="32"/>
          <w:u w:val="single"/>
        </w:rPr>
        <w:t>Incompatible</w:t>
      </w:r>
      <w:r>
        <w:rPr/>
        <w:t xml:space="preserve"> </w:t>
      </w:r>
      <w:r>
        <w:rPr>
          <w:rFonts w:eastAsia="" w:cs="" w:asciiTheme="majorHAnsi" w:cstheme="majorBidi" w:eastAsiaTheme="majorEastAsia" w:hAnsiTheme="majorHAnsi"/>
          <w:sz w:val="36"/>
          <w:szCs w:val="32"/>
          <w:u w:val="single"/>
        </w:rPr>
        <w:t>With</w:t>
      </w:r>
    </w:p>
    <w:tbl>
      <w:tblPr>
        <w:tblStyle w:val="GridTable4-Accent1"/>
        <w:tblW w:w="5000" w:type="pct"/>
        <w:jc w:val="left"/>
        <w:tblInd w:w="0" w:type="dxa"/>
        <w:tblCellMar>
          <w:top w:w="0" w:type="dxa"/>
          <w:left w:w="108" w:type="dxa"/>
          <w:bottom w:w="0" w:type="dxa"/>
          <w:right w:w="108" w:type="dxa"/>
        </w:tblCellMar>
      </w:tblPr>
      <w:tblGrid>
        <w:gridCol w:w="3060"/>
        <w:gridCol w:w="1348"/>
        <w:gridCol w:w="5564"/>
      </w:tblGrid>
      <w:tr>
        <w:trPr/>
        <w:tc>
          <w:tcPr>
            <w:tcW w:w="306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348"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556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Id</w:t>
            </w:r>
          </w:p>
        </w:tc>
      </w:tr>
      <w:tr>
        <w:trPr/>
        <w:tc>
          <w:tcPr>
            <w:tcW w:w="3060" w:type="dxa"/>
            <w:tcBorders/>
          </w:tcPr>
          <w:p>
            <w:pPr>
              <w:pStyle w:val="Normal"/>
              <w:spacing w:before="0" w:after="160"/>
              <w:rPr>
                <w:b/>
                <w:b/>
                <w:bCs/>
              </w:rPr>
            </w:pPr>
            <w:r>
              <w:rPr>
                <w:b/>
                <w:bCs/>
              </w:rPr>
              <w:t>Behavior</w:t>
            </w:r>
          </w:p>
        </w:tc>
        <w:tc>
          <w:tcPr>
            <w:tcW w:w="1348" w:type="dxa"/>
            <w:tcBorders/>
          </w:tcPr>
          <w:p>
            <w:pPr>
              <w:pStyle w:val="Normal"/>
              <w:spacing w:before="0" w:after="160"/>
              <w:rPr>
                <w:b/>
                <w:b/>
                <w:bCs/>
              </w:rPr>
            </w:pPr>
            <w:r>
              <w:rPr>
                <w:b/>
                <w:bCs/>
              </w:rPr>
              <w:t>~d</w:t>
            </w:r>
          </w:p>
        </w:tc>
        <w:tc>
          <w:tcPr>
            <w:tcW w:w="5564" w:type="dxa"/>
            <w:tcBorders/>
          </w:tcPr>
          <w:p>
            <w:pPr>
              <w:pStyle w:val="Normal"/>
              <w:spacing w:before="0" w:after="160"/>
              <w:rPr/>
            </w:pPr>
            <w:r>
              <w:rPr/>
              <w:t>d5807a8e-879b-4885-95fa-f09ba2a22172</w:t>
            </w:r>
          </w:p>
        </w:tc>
      </w:tr>
    </w:tbl>
    <w:p>
      <w:pPr>
        <w:pStyle w:val="Normal"/>
        <w:rPr>
          <w:rFonts w:eastAsia="" w:cs="" w:asciiTheme="majorHAnsi" w:cstheme="majorBidi" w:eastAsiaTheme="majorEastAsia" w:hAnsiTheme="majorHAnsi"/>
          <w:sz w:val="36"/>
          <w:szCs w:val="32"/>
          <w:u w:val="single"/>
        </w:rPr>
      </w:pPr>
      <w:r>
        <w:rPr>
          <w:rFonts w:eastAsia="" w:cs="" w:asciiTheme="majorHAnsi" w:cstheme="majorBidi" w:eastAsiaTheme="majorEastAsia" w:hAnsiTheme="majorHAnsi"/>
          <w:sz w:val="36"/>
          <w:szCs w:val="32"/>
          <w:u w:val="single"/>
        </w:rPr>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whole-fungible.proto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whole-fungible.md</w:t>
            </w:r>
          </w:p>
        </w:tc>
        <w:tc>
          <w:tcPr>
            <w:tcW w:w="5112" w:type="dxa"/>
            <w:tcBorders/>
          </w:tcPr>
          <w:p>
            <w:pPr>
              <w:pStyle w:val="Normal"/>
              <w:spacing w:before="0" w:after="160"/>
              <w:rPr/>
            </w:pPr>
            <w:r>
              <w:rPr/>
            </w:r>
          </w:p>
        </w:tc>
      </w:tr>
    </w:tbl>
    <w:p>
      <w:pPr>
        <w:pStyle w:val="Normal"/>
        <w:jc w:val="left"/>
        <w:rPr/>
      </w:pPr>
      <w:r>
        <w:rPr/>
      </w:r>
    </w:p>
    <w:p>
      <w:pPr>
        <w:pStyle w:val="Heading2"/>
        <w:jc w:val="left"/>
        <w:rPr/>
      </w:pPr>
      <w:r>
        <w:rPr/>
        <w:t>Code Map</w:t>
      </w:r>
    </w:p>
    <w:p>
      <w:pPr>
        <w:pStyle w:val="Heading2"/>
        <w:jc w:val="left"/>
        <w:rPr/>
      </w:pPr>
      <w:r>
        <w:rPr/>
        <w:t>Implementation Map</w:t>
      </w:r>
    </w:p>
    <w:p>
      <w:pPr>
        <w:pStyle w:val="Heading2"/>
        <w:jc w:val="left"/>
        <w:rPr/>
      </w:pPr>
      <w:r>
        <w:rPr/>
        <w:t>Resource Map</w:t>
      </w:r>
    </w:p>
    <w:p>
      <w:pPr>
        <w:pStyle w:val="Heading1"/>
        <w:jc w:val="center"/>
        <w:rPr/>
      </w:pPr>
      <w:r>
        <w:rPr/>
        <w:t>Base Details</w:t>
      </w:r>
    </w:p>
    <w:tbl>
      <w:tblPr>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t>Token Name:</w:t>
            </w:r>
          </w:p>
        </w:tc>
        <w:tc>
          <w:tcPr>
            <w:tcW w:w="4986" w:type="dxa"/>
            <w:tcBorders>
              <w:top w:val="single" w:sz="4" w:space="0" w:color="1CADE4"/>
              <w:left w:val="single" w:sz="4" w:space="0" w:color="1CADE4"/>
              <w:bottom w:val="single" w:sz="4" w:space="0" w:color="1CADE4"/>
              <w:right w:val="single" w:sz="4" w:space="0" w:color="1CADE4"/>
            </w:tcBorders>
            <w:shd w:fill="1CADE4" w:val="clear"/>
          </w:tcPr>
          <w:p>
            <w:pPr>
              <w:pStyle w:val="Normal"/>
              <w:spacing w:before="0" w:after="160"/>
              <w:rPr>
                <w:b/>
                <w:b/>
                <w:bCs/>
                <w:color w:val="FFFFFF"/>
              </w:rPr>
            </w:pPr>
            <w:r>
              <w:rPr>
                <w:b/>
                <w:bCs/>
                <w:color w:val="FFFFFF"/>
              </w:rPr>
            </w:r>
          </w:p>
        </w:tc>
      </w:tr>
      <w:tr>
        <w:trPr/>
        <w:tc>
          <w:tcPr>
            <w:tcW w:w="9971" w:type="dxa"/>
            <w:gridSpan w:val="2"/>
            <w:tcBorders/>
            <w:shd w:fill="D1EEF9" w:val="clear"/>
          </w:tcPr>
          <w:p>
            <w:pPr>
              <w:pStyle w:val="Normal"/>
              <w:spacing w:before="0" w:after="160"/>
              <w:rPr>
                <w:b/>
                <w:b/>
                <w:bCs/>
              </w:rPr>
            </w:pPr>
            <w:r>
              <w:rPr>
                <w:b/>
                <w:bCs/>
              </w:rPr>
              <w:t>Fungible</w:t>
            </w:r>
          </w:p>
        </w:tc>
      </w:tr>
      <w:tr>
        <w:trPr/>
        <w:tc>
          <w:tcPr>
            <w:tcW w:w="4985" w:type="dxa"/>
            <w:tcBorders/>
          </w:tcPr>
          <w:p>
            <w:pPr>
              <w:pStyle w:val="Normal"/>
              <w:spacing w:before="0" w:after="160"/>
              <w:rPr>
                <w:b/>
                <w:b/>
                <w:bCs/>
              </w:rPr>
            </w:pPr>
            <w:r>
              <w:rPr>
                <w:b/>
                <w:bCs/>
              </w:rPr>
              <w:t>Representation Type:</w:t>
            </w:r>
          </w:p>
        </w:tc>
        <w:tc>
          <w:tcPr>
            <w:tcW w:w="4986" w:type="dxa"/>
            <w:tcBorders/>
          </w:tcPr>
          <w:p>
            <w:pPr>
              <w:pStyle w:val="Normal"/>
              <w:widowControl/>
              <w:bidi w:val="0"/>
              <w:spacing w:lineRule="auto" w:line="300" w:before="0" w:after="160"/>
              <w:jc w:val="left"/>
              <w:rPr/>
            </w:pPr>
            <w:r>
              <w:rPr/>
              <w:t>Common</w:t>
            </w:r>
          </w:p>
        </w:tc>
      </w:tr>
      <w:tr>
        <w:trPr/>
        <w:tc>
          <w:tcPr>
            <w:tcW w:w="9971" w:type="dxa"/>
            <w:gridSpan w:val="2"/>
            <w:tcBorders/>
            <w:shd w:fill="D1EEF9" w:val="clear"/>
          </w:tcPr>
          <w:p>
            <w:pPr>
              <w:pStyle w:val="Normal"/>
              <w:spacing w:before="0" w:after="160"/>
              <w:rPr>
                <w:b/>
                <w:b/>
                <w:bCs/>
              </w:rPr>
            </w:pPr>
            <w:r>
              <w:rPr>
                <w:b/>
                <w:bCs/>
              </w:rPr>
              <w:t>Intrinsic</w:t>
            </w:r>
          </w:p>
        </w:tc>
      </w:tr>
      <w:tr>
        <w:trPr/>
        <w:tc>
          <w:tcPr>
            <w:tcW w:w="4985" w:type="dxa"/>
            <w:tcBorders/>
          </w:tcPr>
          <w:p>
            <w:pPr>
              <w:pStyle w:val="Normal"/>
              <w:spacing w:before="0" w:after="160"/>
              <w:rPr>
                <w:b/>
                <w:b/>
                <w:bCs/>
              </w:rPr>
            </w:pPr>
            <w:r>
              <w:rPr>
                <w:b/>
                <w:bCs/>
              </w:rPr>
              <w:t>Token Unit:</w:t>
            </w:r>
          </w:p>
        </w:tc>
        <w:tc>
          <w:tcPr>
            <w:tcW w:w="4986" w:type="dxa"/>
            <w:tcBorders/>
          </w:tcPr>
          <w:p>
            <w:pPr>
              <w:pStyle w:val="Normal"/>
              <w:widowControl/>
              <w:bidi w:val="0"/>
              <w:spacing w:lineRule="auto" w:line="300" w:before="0" w:after="160"/>
              <w:jc w:val="left"/>
              <w:rPr/>
            </w:pPr>
            <w:r>
              <w:rPr/>
              <w:t>Whole</w:t>
            </w:r>
          </w:p>
        </w:tc>
      </w:tr>
      <w:tr>
        <w:trPr/>
        <w:tc>
          <w:tcPr>
            <w:tcW w:w="9971" w:type="dxa"/>
            <w:gridSpan w:val="2"/>
            <w:tcBorders/>
            <w:shd w:fill="D1EEF9" w:val="clear"/>
          </w:tcPr>
          <w:p>
            <w:pPr>
              <w:pStyle w:val="Normal"/>
              <w:spacing w:before="0" w:after="160"/>
              <w:rPr>
                <w:b/>
                <w:b/>
                <w:bCs/>
              </w:rPr>
            </w:pPr>
            <w:r>
              <w:rPr>
                <w:b/>
                <w:bCs/>
              </w:rPr>
              <w:t>CET</w:t>
            </w:r>
          </w:p>
        </w:tc>
      </w:tr>
      <w:tr>
        <w:trPr/>
        <w:tc>
          <w:tcPr>
            <w:tcW w:w="4985" w:type="dxa"/>
            <w:tcBorders/>
          </w:tcPr>
          <w:p>
            <w:pPr>
              <w:pStyle w:val="Normal"/>
              <w:spacing w:before="0" w:after="160"/>
              <w:rPr>
                <w:b/>
                <w:b/>
                <w:bCs/>
              </w:rPr>
            </w:pPr>
            <w:r>
              <w:rPr>
                <w:b/>
                <w:bCs/>
              </w:rPr>
              <w:t>Owner:</w:t>
            </w:r>
          </w:p>
        </w:tc>
        <w:tc>
          <w:tcPr>
            <w:tcW w:w="4986" w:type="dxa"/>
            <w:tcBorders/>
          </w:tcPr>
          <w:p>
            <w:pPr>
              <w:pStyle w:val="Normal"/>
              <w:widowControl/>
              <w:bidi w:val="0"/>
              <w:spacing w:lineRule="auto" w:line="300" w:before="0" w:after="160"/>
              <w:jc w:val="left"/>
              <w:rPr/>
            </w:pPr>
            <w:r>
              <w:rPr/>
            </w:r>
          </w:p>
        </w:tc>
      </w:tr>
      <w:tr>
        <w:trPr/>
        <w:tc>
          <w:tcPr>
            <w:tcW w:w="9971" w:type="dxa"/>
            <w:gridSpan w:val="2"/>
            <w:tcBorders/>
            <w:shd w:fill="D1EEF9" w:val="clear"/>
          </w:tcPr>
          <w:p>
            <w:pPr>
              <w:pStyle w:val="Normal"/>
              <w:spacing w:before="0" w:after="160"/>
              <w:rPr>
                <w:b/>
                <w:b/>
                <w:bCs/>
              </w:rPr>
            </w:pPr>
            <w:r>
              <w:rPr>
                <w:b/>
                <w:bCs/>
              </w:rPr>
              <w:t>0</w:t>
            </w:r>
          </w:p>
        </w:tc>
      </w:tr>
      <w:tr>
        <w:trPr/>
        <w:tc>
          <w:tcPr>
            <w:tcW w:w="4985" w:type="dxa"/>
            <w:tcBorders/>
          </w:tcPr>
          <w:p>
            <w:pPr>
              <w:pStyle w:val="Normal"/>
              <w:spacing w:before="0" w:after="160"/>
              <w:rPr>
                <w:b/>
                <w:b/>
                <w:bCs/>
              </w:rPr>
            </w:pPr>
            <w:r>
              <w:rPr>
                <w:b/>
                <w:bCs/>
              </w:rPr>
              <w:t>Decimals:</w:t>
            </w:r>
          </w:p>
        </w:tc>
        <w:tc>
          <w:tcPr>
            <w:tcW w:w="4986" w:type="dxa"/>
            <w:tcBorders/>
          </w:tcPr>
          <w:p>
            <w:pPr>
              <w:pStyle w:val="Normal"/>
              <w:widowControl/>
              <w:bidi w:val="0"/>
              <w:spacing w:lineRule="auto" w:line="300" w:before="0" w:after="160"/>
              <w:jc w:val="left"/>
              <w:rPr/>
            </w:pPr>
            <w:r>
              <w:rPr/>
              <w:t>8</w:t>
            </w:r>
          </w:p>
        </w:tc>
      </w:tr>
      <w:tr>
        <w:trPr/>
        <w:tc>
          <w:tcPr>
            <w:tcW w:w="9971" w:type="dxa"/>
            <w:gridSpan w:val="2"/>
            <w:tcBorders/>
            <w:shd w:fill="D1EEF9" w:val="clear"/>
          </w:tcPr>
          <w:p>
            <w:pPr>
              <w:pStyle w:val="Normal"/>
              <w:spacing w:before="0" w:after="160"/>
              <w:rPr>
                <w:b/>
                <w:b/>
                <w:bCs/>
              </w:rPr>
            </w:pPr>
            <w:r>
              <w:rPr>
                <w:b/>
                <w:bCs/>
              </w:rPr>
              <w:t>Constructor</w:t>
            </w:r>
          </w:p>
        </w:tc>
      </w:tr>
    </w:tbl>
    <w:p>
      <w:pPr>
        <w:pStyle w:val="Heading2"/>
        <w:jc w:val="left"/>
        <w:rPr/>
      </w:pPr>
      <w:r>
        <w:rPr/>
      </w:r>
    </w:p>
    <w:p>
      <w:pPr>
        <w:pStyle w:val="Heading2"/>
        <w:jc w:val="left"/>
        <w:rPr/>
      </w:pPr>
      <w:r>
        <w:rPr/>
        <w:t>Behaviors</w:t>
      </w:r>
    </w:p>
    <w:p>
      <w:pPr>
        <w:pStyle w:val="Heading2"/>
        <w:jc w:val="center"/>
        <w:rPr>
          <w:rFonts w:ascii="Liberation Serif" w:hAnsi="Liberation Serif" w:eastAsia="DejaVu Sans" w:cs="DejaVu Sans"/>
          <w:sz w:val="36"/>
          <w:szCs w:val="32"/>
          <w:u w:val="single"/>
        </w:rPr>
      </w:pPr>
      <w:r>
        <w:rPr>
          <w:rFonts w:eastAsia="DejaVu Sans" w:cs="DejaVu Sans"/>
          <w:sz w:val="36"/>
          <w:szCs w:val="32"/>
          <w:u w:val="single"/>
        </w:rPr>
        <w:t>Indivisible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Indivisible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d5807a8e-879b-4885-95fa-f09ba2a22172</w:t>
            </w:r>
          </w:p>
        </w:tc>
      </w:tr>
      <w:tr>
        <w:trPr/>
        <w:tc>
          <w:tcPr>
            <w:tcW w:w="9971" w:type="dxa"/>
            <w:gridSpan w:val="2"/>
            <w:tcBorders/>
            <w:shd w:color="auto" w:fill="D1EEF9" w:themeFill="accent1" w:themeFillTint="33" w:val="clear"/>
          </w:tcPr>
          <w:p>
            <w:pPr>
              <w:pStyle w:val="Normal"/>
              <w:spacing w:before="0" w:after="160"/>
              <w:rPr>
                <w:b/>
                <w:b/>
                <w:bCs/>
              </w:rPr>
            </w:pPr>
            <w:r>
              <w:rPr>
                <w:b/>
                <w:bCs/>
              </w:rPr>
              <w:t>&lt;i&gt;d&lt;/i&gt;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~d</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pPr>
      <w:r>
        <w:rPr/>
        <w:t>Definition</w:t>
      </w:r>
    </w:p>
    <w:p>
      <w:pPr>
        <w:pStyle w:val="Quote"/>
        <w:jc w:val="both"/>
        <w:rPr/>
      </w:pPr>
      <w:r>
        <w:rP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2"/>
        <w:jc w:val="left"/>
        <w:rPr/>
      </w:pPr>
      <w:r>
        <w:rPr/>
        <w:t>Example</w:t>
      </w:r>
    </w:p>
    <w:p>
      <w:pPr>
        <w:pStyle w:val="Normal"/>
        <w:jc w:val="left"/>
        <w:rPr/>
      </w:pPr>
      <w:r>
        <w:rPr/>
        <w:t>Indivisible is common for items where division does not make sense, like a property title, inventory item or invoice.</w:t>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r>
    </w:p>
    <w:p>
      <w:pPr>
        <w:pStyle w:val="Normal"/>
        <w:numPr>
          <w:ilvl w:val="0"/>
          <w:numId w:val="0"/>
        </w:numPr>
        <w:spacing w:before="0" w:after="0"/>
        <w:ind w:left="0" w:right="0" w:hanging="0"/>
        <w:jc w:val="center"/>
        <w:rPr/>
      </w:pPr>
      <w:r>
        <w:rPr>
          <w:rFonts w:eastAsia="DejaVu Sans" w:cs="DejaVu Sans"/>
          <w:sz w:val="36"/>
          <w:szCs w:val="32"/>
          <w:u w:val="single"/>
        </w:rPr>
        <w:t>Transferable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Transferable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af119e58-6d84-4ca6-9656-75e8d312f038</w:t>
            </w:r>
          </w:p>
        </w:tc>
      </w:tr>
      <w:tr>
        <w:trPr/>
        <w:tc>
          <w:tcPr>
            <w:tcW w:w="9971" w:type="dxa"/>
            <w:gridSpan w:val="2"/>
            <w:tcBorders/>
            <w:shd w:color="auto" w:fill="D1EEF9" w:themeFill="accent1" w:themeFillTint="33" w:val="clear"/>
          </w:tcPr>
          <w:p>
            <w:pPr>
              <w:pStyle w:val="Normal"/>
              <w:spacing w:before="0" w:after="160"/>
              <w:rPr>
                <w:b/>
                <w:b/>
                <w:bCs/>
              </w:rPr>
            </w:pPr>
            <w:r>
              <w:rPr>
                <w:b/>
                <w:bCs/>
              </w:rPr>
              <w:t>&lt;i&gt;t&lt;/i&gt;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t</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rPr/>
      </w:pPr>
      <w:r>
        <w:rPr/>
        <w:t>Analogies</w:t>
      </w:r>
    </w:p>
    <w:p>
      <w:pPr>
        <w:pStyle w:val="Normal"/>
        <w:jc w:val="left"/>
        <w:rPr/>
      </w:pPr>
      <w:r>
        <w:rPr/>
      </w:r>
    </w:p>
    <w:p>
      <w:pPr>
        <w:pStyle w:val="Heading2"/>
        <w:jc w:val="left"/>
        <w:rPr/>
      </w:pPr>
      <w:r>
        <w:rPr/>
        <w:t>Dependencies</w:t>
      </w:r>
    </w:p>
    <w:p>
      <w:pPr>
        <w:pStyle w:val="Normal"/>
        <w:jc w:val="left"/>
        <w:rPr/>
      </w:pPr>
      <w:r>
        <w:rPr/>
      </w:r>
    </w:p>
    <w:p>
      <w:pPr>
        <w:pStyle w:val="Heading2"/>
        <w:jc w:val="left"/>
        <w:rPr/>
      </w:pPr>
      <w:r>
        <w:rPr/>
        <w:t>Incompatible With</w:t>
      </w:r>
    </w:p>
    <w:tbl>
      <w:tblPr>
        <w:tblStyle w:val="GridTable4-Accent1"/>
        <w:tblW w:w="5000" w:type="pct"/>
        <w:jc w:val="left"/>
        <w:tblInd w:w="0" w:type="dxa"/>
        <w:tblCellMar>
          <w:top w:w="0" w:type="dxa"/>
          <w:left w:w="108" w:type="dxa"/>
          <w:bottom w:w="0" w:type="dxa"/>
          <w:right w:w="108" w:type="dxa"/>
        </w:tblCellMar>
      </w:tblPr>
      <w:tblGrid>
        <w:gridCol w:w="1980"/>
        <w:gridCol w:w="1617"/>
        <w:gridCol w:w="6375"/>
      </w:tblGrid>
      <w:tr>
        <w:trPr/>
        <w:tc>
          <w:tcPr>
            <w:tcW w:w="1980"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Artifact Type</w:t>
            </w:r>
          </w:p>
        </w:tc>
        <w:tc>
          <w:tcPr>
            <w:tcW w:w="161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637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Id</w:t>
            </w:r>
          </w:p>
        </w:tc>
      </w:tr>
      <w:tr>
        <w:trPr/>
        <w:tc>
          <w:tcPr>
            <w:tcW w:w="1980" w:type="dxa"/>
            <w:tcBorders/>
          </w:tcPr>
          <w:p>
            <w:pPr>
              <w:pStyle w:val="Normal"/>
              <w:spacing w:before="0" w:after="160"/>
              <w:rPr>
                <w:b/>
                <w:b/>
                <w:bCs/>
              </w:rPr>
            </w:pPr>
            <w:r>
              <w:rPr>
                <w:b/>
                <w:bCs/>
              </w:rPr>
              <w:t>Behavior</w:t>
            </w:r>
          </w:p>
        </w:tc>
        <w:tc>
          <w:tcPr>
            <w:tcW w:w="1617" w:type="dxa"/>
            <w:tcBorders/>
          </w:tcPr>
          <w:p>
            <w:pPr>
              <w:pStyle w:val="Normal"/>
              <w:spacing w:before="0" w:after="160"/>
              <w:rPr>
                <w:b/>
                <w:b/>
                <w:bCs/>
              </w:rPr>
            </w:pPr>
            <w:r>
              <w:rPr>
                <w:b/>
                <w:bCs/>
              </w:rPr>
              <w:t>~t</w:t>
            </w:r>
          </w:p>
        </w:tc>
        <w:tc>
          <w:tcPr>
            <w:tcW w:w="6375" w:type="dxa"/>
            <w:tcBorders/>
          </w:tcPr>
          <w:p>
            <w:pPr>
              <w:pStyle w:val="Normal"/>
              <w:spacing w:before="0" w:after="160"/>
              <w:rPr/>
            </w:pPr>
            <w:r>
              <w:rPr/>
              <w:t>a4fa4ca8-6afd-452b-91f5-7103b6fee5e5</w:t>
            </w:r>
          </w:p>
        </w:tc>
      </w:tr>
    </w:tbl>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6"/>
        <w:gridCol w:w="1622"/>
        <w:gridCol w:w="1604"/>
      </w:tblGrid>
      <w:tr>
        <w:trPr/>
        <w:tc>
          <w:tcPr>
            <w:tcW w:w="6746"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6" w:type="dxa"/>
            <w:tcBorders>
              <w:bottom w:val="single" w:sz="4" w:space="0" w:color="1CADE4"/>
            </w:tcBorders>
          </w:tcPr>
          <w:p>
            <w:pPr>
              <w:pStyle w:val="Normal"/>
              <w:spacing w:before="0" w:after="160"/>
              <w:rPr>
                <w:b/>
                <w:b/>
                <w:bCs/>
              </w:rPr>
            </w:pPr>
            <w:r>
              <w:rPr>
                <w:b/>
                <w:bCs/>
              </w:rPr>
              <w:t>If the token is Delegable, TransferFrom should be enabled.</w:t>
            </w:r>
          </w:p>
        </w:tc>
        <w:tc>
          <w:tcPr>
            <w:tcW w:w="1622" w:type="dxa"/>
            <w:tcBorders>
              <w:bottom w:val="single" w:sz="4" w:space="0" w:color="1CADE4"/>
            </w:tcBorders>
          </w:tcPr>
          <w:p>
            <w:pPr>
              <w:pStyle w:val="Normal"/>
              <w:spacing w:before="0" w:after="160"/>
              <w:rPr>
                <w:b/>
                <w:b/>
                <w:bCs/>
              </w:rPr>
            </w:pPr>
            <w:r>
              <w:rPr>
                <w:b/>
                <w:bCs/>
              </w:rPr>
              <w:t>g</w:t>
            </w:r>
          </w:p>
        </w:tc>
        <w:tc>
          <w:tcPr>
            <w:tcW w:w="1604" w:type="dxa"/>
            <w:tcBorders>
              <w:bottom w:val="single" w:sz="4" w:space="0" w:color="1CADE4"/>
            </w:tcBorders>
          </w:tcPr>
          <w:p>
            <w:pPr>
              <w:pStyle w:val="Normal"/>
              <w:spacing w:before="0" w:after="160"/>
              <w:rPr/>
            </w:pPr>
            <w:r>
              <w:rPr/>
              <w:t>[ ]</w:t>
            </w:r>
          </w:p>
        </w:tc>
      </w:tr>
      <w:tr>
        <w:trPr/>
        <w:tc>
          <w:tcPr>
            <w:tcW w:w="6746" w:type="dxa"/>
            <w:tcBorders/>
          </w:tcPr>
          <w:p>
            <w:pPr>
              <w:pStyle w:val="Normal"/>
              <w:spacing w:before="0" w:after="160"/>
              <w:rPr>
                <w:b/>
                <w:b/>
                <w:bCs/>
              </w:rPr>
            </w:pPr>
            <w:r>
              <w:rPr>
                <w:b/>
                <w:bCs/>
              </w:rPr>
              <w:t>If Compliance is present, a CheckTransferAllowed request has to be made and verified before a Transfer request or a TransferFrom request.</w:t>
            </w:r>
          </w:p>
        </w:tc>
        <w:tc>
          <w:tcPr>
            <w:tcW w:w="1622" w:type="dxa"/>
            <w:tcBorders/>
          </w:tcPr>
          <w:p>
            <w:pPr>
              <w:pStyle w:val="Normal"/>
              <w:spacing w:before="0" w:after="160"/>
              <w:rPr>
                <w:b/>
                <w:b/>
                <w:bCs/>
              </w:rPr>
            </w:pPr>
            <w:r>
              <w:rPr>
                <w:b/>
                <w:bCs/>
              </w:rPr>
              <w:t>c</w:t>
            </w:r>
          </w:p>
        </w:tc>
        <w:tc>
          <w:tcPr>
            <w:tcW w:w="1604" w:type="dxa"/>
            <w:tcBorders/>
          </w:tcPr>
          <w:p>
            <w:pPr>
              <w:pStyle w:val="Normal"/>
              <w:spacing w:before="0" w:after="160"/>
              <w:rPr/>
            </w:pPr>
            <w:r>
              <w:rPr/>
              <w:t>[ ]</w:t>
            </w:r>
          </w:p>
        </w:tc>
      </w:tr>
    </w:tbl>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transferable.proto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transferable.md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Delegable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Delegable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a3d02076-6009-4a65-9ed4-2deffe5291e1</w:t>
            </w:r>
          </w:p>
        </w:tc>
      </w:tr>
      <w:tr>
        <w:trPr/>
        <w:tc>
          <w:tcPr>
            <w:tcW w:w="9971" w:type="dxa"/>
            <w:gridSpan w:val="2"/>
            <w:tcBorders/>
            <w:shd w:color="auto" w:fill="D1EEF9" w:themeFill="accent1" w:themeFillTint="33" w:val="clear"/>
          </w:tcPr>
          <w:p>
            <w:pPr>
              <w:pStyle w:val="Normal"/>
              <w:spacing w:before="0" w:after="160"/>
              <w:rPr>
                <w:b/>
                <w:b/>
                <w:bCs/>
              </w:rPr>
            </w:pPr>
            <w:r>
              <w:rPr>
                <w:b/>
                <w:bCs/>
              </w:rPr>
              <w:t>&lt;i&gt;g&lt;/i&gt;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g</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Broker</w:t>
            </w:r>
          </w:p>
        </w:tc>
        <w:tc>
          <w:tcPr>
            <w:tcW w:w="6734" w:type="dxa"/>
            <w:tcBorders/>
          </w:tcPr>
          <w:p>
            <w:pPr>
              <w:pStyle w:val="Normal"/>
              <w:spacing w:before="0" w:after="160"/>
              <w:rPr/>
            </w:pPr>
            <w:r>
              <w:rP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p>
      <w:pPr>
        <w:pStyle w:val="Heading2"/>
        <w:jc w:val="left"/>
        <w:rPr/>
      </w:pPr>
      <w:r>
        <w:rPr/>
        <w:t>Dependencies</w:t>
      </w:r>
    </w:p>
    <w:p>
      <w:pPr>
        <w:pStyle w:val="Heading2"/>
        <w:jc w:val="left"/>
        <w:rPr/>
      </w:pPr>
      <w:r>
        <w:rPr/>
        <w:t>Incompatible With</w:t>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delegable.proto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delegable.md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Mintable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Mintable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f9224e90-3cab-45bf-b5dc-0175121e2ead</w:t>
            </w:r>
          </w:p>
        </w:tc>
      </w:tr>
      <w:tr>
        <w:trPr/>
        <w:tc>
          <w:tcPr>
            <w:tcW w:w="9971" w:type="dxa"/>
            <w:gridSpan w:val="2"/>
            <w:tcBorders/>
            <w:shd w:color="auto" w:fill="D1EEF9" w:themeFill="accent1" w:themeFillTint="33" w:val="clear"/>
          </w:tcPr>
          <w:p>
            <w:pPr>
              <w:pStyle w:val="Normal"/>
              <w:spacing w:before="0" w:after="160"/>
              <w:rPr>
                <w:b/>
                <w:b/>
                <w:bCs/>
              </w:rPr>
            </w:pPr>
            <w:r>
              <w:rPr>
                <w:b/>
                <w:bCs/>
              </w:rPr>
              <w:t>&lt;i&gt;m&lt;/i&gt;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m</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rPr/>
      </w:pPr>
      <w:r>
        <w:rPr/>
        <w:t>Example</w:t>
      </w:r>
    </w:p>
    <w:p>
      <w:pPr>
        <w:pStyle w:val="Normal"/>
        <w:jc w:val="both"/>
        <w:rPr/>
      </w:pPr>
      <w:r>
        <w:rP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SKU</w:t>
            </w:r>
          </w:p>
        </w:tc>
        <w:tc>
          <w:tcPr>
            <w:tcW w:w="6734" w:type="dxa"/>
            <w:tcBorders/>
          </w:tcPr>
          <w:p>
            <w:pPr>
              <w:pStyle w:val="Normal"/>
              <w:spacing w:before="0" w:after="160"/>
              <w:jc w:val="both"/>
              <w:rPr/>
            </w:pPr>
            <w:r>
              <w:rPr/>
              <w:t>A token class can represent a particular item SKU, where the manufacturer of the item has the ability to mint or issue new inventory of the SKU into the supply chain.</w:t>
            </w:r>
          </w:p>
        </w:tc>
      </w:tr>
    </w:tbl>
    <w:p>
      <w:pPr>
        <w:pStyle w:val="Heading2"/>
        <w:jc w:val="left"/>
        <w:rPr/>
      </w:pPr>
      <w:r>
        <w:rPr/>
        <w:t>Dependencies</w:t>
      </w:r>
    </w:p>
    <w:p>
      <w:pPr>
        <w:pStyle w:val="Heading2"/>
        <w:jc w:val="left"/>
        <w:rPr/>
      </w:pPr>
      <w:r>
        <w:rPr/>
        <w:t>Incompatible With</w:t>
      </w:r>
    </w:p>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6"/>
        <w:gridCol w:w="1622"/>
        <w:gridCol w:w="1604"/>
      </w:tblGrid>
      <w:tr>
        <w:trPr/>
        <w:tc>
          <w:tcPr>
            <w:tcW w:w="6746"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6" w:type="dxa"/>
            <w:tcBorders>
              <w:bottom w:val="single" w:sz="4" w:space="0" w:color="1CADE4"/>
            </w:tcBorders>
          </w:tcPr>
          <w:p>
            <w:pPr>
              <w:pStyle w:val="Normal"/>
              <w:spacing w:before="0" w:after="160"/>
              <w:jc w:val="both"/>
              <w:rPr>
                <w:b/>
                <w:b/>
                <w:bCs/>
              </w:rPr>
            </w:pPr>
            <w:r>
              <w:rPr>
                <w:b/>
                <w:bCs/>
              </w:rPr>
              <w:t>Roles is common to implement to provide authorization checks for invoking the behavior. Highly Recommended that Role restrictions be applied to MintTo invocations.</w:t>
            </w:r>
          </w:p>
        </w:tc>
        <w:tc>
          <w:tcPr>
            <w:tcW w:w="1622" w:type="dxa"/>
            <w:tcBorders>
              <w:bottom w:val="single" w:sz="4" w:space="0" w:color="1CADE4"/>
            </w:tcBorders>
          </w:tcPr>
          <w:p>
            <w:pPr>
              <w:pStyle w:val="Normal"/>
              <w:spacing w:before="0" w:after="160"/>
              <w:rPr>
                <w:b/>
                <w:b/>
                <w:bCs/>
              </w:rPr>
            </w:pPr>
            <w:r>
              <w:rPr>
                <w:b/>
                <w:bCs/>
              </w:rPr>
              <w:t>r</w:t>
            </w:r>
          </w:p>
        </w:tc>
        <w:tc>
          <w:tcPr>
            <w:tcW w:w="1604" w:type="dxa"/>
            <w:tcBorders>
              <w:bottom w:val="single" w:sz="4" w:space="0" w:color="1CADE4"/>
            </w:tcBorders>
          </w:tcPr>
          <w:p>
            <w:pPr>
              <w:pStyle w:val="Normal"/>
              <w:spacing w:before="0" w:after="160"/>
              <w:rPr/>
            </w:pPr>
            <w:r>
              <w:rPr/>
              <w:t>[ ]</w:t>
            </w:r>
          </w:p>
        </w:tc>
      </w:tr>
      <w:tr>
        <w:trPr/>
        <w:tc>
          <w:tcPr>
            <w:tcW w:w="6746" w:type="dxa"/>
            <w:tcBorders/>
          </w:tcPr>
          <w:p>
            <w:pPr>
              <w:pStyle w:val="Normal"/>
              <w:spacing w:before="0" w:after="160"/>
              <w:jc w:val="both"/>
              <w:rPr>
                <w:b/>
                <w:b/>
                <w:bCs/>
              </w:rPr>
            </w:pPr>
            <w:r>
              <w:rPr>
                <w:b/>
                <w:bCs/>
              </w:rPr>
              <w:t>If Compliance is present, a CheckMintAllowed request has to be made and verified before a Mint request or a MintTo request.</w:t>
            </w:r>
          </w:p>
        </w:tc>
        <w:tc>
          <w:tcPr>
            <w:tcW w:w="1622" w:type="dxa"/>
            <w:tcBorders/>
          </w:tcPr>
          <w:p>
            <w:pPr>
              <w:pStyle w:val="Normal"/>
              <w:spacing w:before="0" w:after="160"/>
              <w:rPr>
                <w:b/>
                <w:b/>
                <w:bCs/>
              </w:rPr>
            </w:pPr>
            <w:r>
              <w:rPr>
                <w:b/>
                <w:bCs/>
              </w:rPr>
              <w:t>c</w:t>
            </w:r>
          </w:p>
        </w:tc>
        <w:tc>
          <w:tcPr>
            <w:tcW w:w="1604" w:type="dxa"/>
            <w:tcBorders/>
          </w:tcPr>
          <w:p>
            <w:pPr>
              <w:pStyle w:val="Normal"/>
              <w:spacing w:before="0" w:after="160"/>
              <w:rPr/>
            </w:pPr>
            <w:r>
              <w:rPr/>
              <w:t>[ ]</w:t>
            </w:r>
          </w:p>
        </w:tc>
      </w:tr>
    </w:tbl>
    <w:p>
      <w:pPr>
        <w:pStyle w:val="Heading2"/>
        <w:jc w:val="left"/>
        <w:rPr/>
      </w:pPr>
      <w:r>
        <w:rPr/>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mintable.proto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mintable.md</w:t>
            </w:r>
          </w:p>
        </w:tc>
        <w:tc>
          <w:tcPr>
            <w:tcW w:w="5112" w:type="dxa"/>
            <w:tcBorders/>
          </w:tcPr>
          <w:p>
            <w:pPr>
              <w:pStyle w:val="Normal"/>
              <w:spacing w:before="0" w:after="160"/>
              <w:rPr/>
            </w:pPr>
            <w:r>
              <w:rPr/>
            </w:r>
          </w:p>
        </w:tc>
      </w:tr>
    </w:tbl>
    <w:p>
      <w:pPr>
        <w:pStyle w:val="Heading2"/>
        <w:jc w:val="left"/>
        <w:rPr/>
      </w:pPr>
      <w:r>
        <w:rPr/>
        <w:t>Code Map</w:t>
      </w:r>
    </w:p>
    <w:tbl>
      <w:tblPr>
        <w:tblStyle w:val="GridTable4-Accent1"/>
        <w:tblW w:w="5000" w:type="pct"/>
        <w:jc w:val="left"/>
        <w:tblInd w:w="0" w:type="dxa"/>
        <w:tblCellMar>
          <w:top w:w="0" w:type="dxa"/>
          <w:left w:w="108" w:type="dxa"/>
          <w:bottom w:w="0" w:type="dxa"/>
          <w:right w:w="108" w:type="dxa"/>
        </w:tblCellMar>
      </w:tblPr>
      <w:tblGrid>
        <w:gridCol w:w="1437"/>
        <w:gridCol w:w="1532"/>
        <w:gridCol w:w="1891"/>
        <w:gridCol w:w="5111"/>
      </w:tblGrid>
      <w:tr>
        <w:trPr/>
        <w:tc>
          <w:tcPr>
            <w:tcW w:w="143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Map Type</w:t>
            </w:r>
          </w:p>
        </w:tc>
        <w:tc>
          <w:tcPr>
            <w:tcW w:w="1532"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189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Platform</w:t>
            </w:r>
          </w:p>
        </w:tc>
        <w:tc>
          <w:tcPr>
            <w:tcW w:w="511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Location</w:t>
            </w:r>
          </w:p>
        </w:tc>
      </w:tr>
      <w:tr>
        <w:trPr/>
        <w:tc>
          <w:tcPr>
            <w:tcW w:w="1437" w:type="dxa"/>
            <w:tcBorders>
              <w:bottom w:val="single" w:sz="4" w:space="0" w:color="1CADE4"/>
            </w:tcBorders>
          </w:tcPr>
          <w:p>
            <w:pPr>
              <w:pStyle w:val="Normal"/>
              <w:spacing w:before="0" w:after="160"/>
              <w:rPr>
                <w:b/>
                <w:b/>
                <w:bCs/>
              </w:rPr>
            </w:pPr>
            <w:r>
              <w:rPr>
                <w:b/>
                <w:bCs/>
              </w:rPr>
              <w:t>SourceCode</w:t>
            </w:r>
          </w:p>
        </w:tc>
        <w:tc>
          <w:tcPr>
            <w:tcW w:w="1532" w:type="dxa"/>
            <w:tcBorders>
              <w:bottom w:val="single" w:sz="4" w:space="0" w:color="1CADE4"/>
            </w:tcBorders>
          </w:tcPr>
          <w:p>
            <w:pPr>
              <w:pStyle w:val="Normal"/>
              <w:spacing w:before="0" w:after="160"/>
              <w:rPr>
                <w:b/>
                <w:b/>
                <w:bCs/>
              </w:rPr>
            </w:pPr>
            <w:r>
              <w:rPr>
                <w:b/>
                <w:bCs/>
              </w:rPr>
              <w:t>Openzeppelin</w:t>
            </w:r>
          </w:p>
        </w:tc>
        <w:tc>
          <w:tcPr>
            <w:tcW w:w="1891" w:type="dxa"/>
            <w:tcBorders>
              <w:bottom w:val="single" w:sz="4" w:space="0" w:color="1CADE4"/>
            </w:tcBorders>
          </w:tcPr>
          <w:p>
            <w:pPr>
              <w:pStyle w:val="Normal"/>
              <w:spacing w:before="0" w:after="160"/>
              <w:rPr>
                <w:b/>
                <w:b/>
                <w:bCs/>
              </w:rPr>
            </w:pPr>
            <w:r>
              <w:rPr>
                <w:b/>
                <w:bCs/>
              </w:rPr>
              <w:t>EthereumSolidity</w:t>
            </w:r>
          </w:p>
        </w:tc>
        <w:tc>
          <w:tcPr>
            <w:tcW w:w="5111" w:type="dxa"/>
            <w:tcBorders>
              <w:bottom w:val="single" w:sz="4" w:space="0" w:color="1CADE4"/>
            </w:tcBorders>
          </w:tcPr>
          <w:p>
            <w:pPr>
              <w:pStyle w:val="Normal"/>
              <w:spacing w:before="0" w:after="160"/>
              <w:rPr/>
            </w:pPr>
            <w:r>
              <w:rPr/>
              <w:t>https://github.com/OpenZeppelin/openzeppelin-contracts/blob/master/contracts/token/ERC20/ERC20Mintable.sol</w:t>
            </w:r>
          </w:p>
        </w:tc>
      </w:tr>
    </w:tbl>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Burnable</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Burnable</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803297a1-c0f9-4898-9d44-29c9d41cca97</w:t>
            </w:r>
          </w:p>
        </w:tc>
      </w:tr>
      <w:tr>
        <w:trPr/>
        <w:tc>
          <w:tcPr>
            <w:tcW w:w="9971" w:type="dxa"/>
            <w:gridSpan w:val="2"/>
            <w:tcBorders/>
            <w:shd w:color="auto" w:fill="D1EEF9" w:themeFill="accent1" w:themeFillTint="33" w:val="clear"/>
          </w:tcPr>
          <w:p>
            <w:pPr>
              <w:pStyle w:val="Normal"/>
              <w:spacing w:before="0" w:after="160"/>
              <w:rPr>
                <w:b/>
                <w:b/>
                <w:bCs/>
              </w:rPr>
            </w:pPr>
            <w:r>
              <w:rPr>
                <w:b/>
                <w:bCs/>
              </w:rPr>
              <w:t>&lt;i&gt;b&lt;/i&gt;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b</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rPr/>
      </w:pPr>
      <w:r>
        <w:rPr/>
        <w:t>Example</w:t>
      </w:r>
    </w:p>
    <w:p>
      <w:pPr>
        <w:pStyle w:val="Normal"/>
        <w:jc w:val="both"/>
        <w:rPr/>
      </w:pPr>
      <w:r>
        <w:rP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Oil Barrels</w:t>
            </w:r>
          </w:p>
        </w:tc>
        <w:tc>
          <w:tcPr>
            <w:tcW w:w="6734" w:type="dxa"/>
            <w:tcBorders/>
          </w:tcPr>
          <w:p>
            <w:pPr>
              <w:pStyle w:val="Normal"/>
              <w:spacing w:before="0" w:after="160"/>
              <w:jc w:val="both"/>
              <w:rPr/>
            </w:pPr>
            <w:r>
              <w:rPr/>
              <w:t>If you mint a new token for each barrel of oil created, you may transfer ownership several times until the barrel is refined. The refining process should burn the barrel of oil to remove it from circulation.</w:t>
            </w:r>
          </w:p>
        </w:tc>
      </w:tr>
      <w:tr>
        <w:trPr/>
        <w:tc>
          <w:tcPr>
            <w:tcW w:w="3237" w:type="dxa"/>
            <w:tcBorders/>
          </w:tcPr>
          <w:p>
            <w:pPr>
              <w:pStyle w:val="Normal"/>
              <w:spacing w:before="0" w:after="160"/>
              <w:rPr>
                <w:b/>
                <w:b/>
                <w:bCs/>
              </w:rPr>
            </w:pPr>
            <w:r>
              <w:rPr>
                <w:b/>
                <w:bCs/>
              </w:rPr>
              <w:t>Redeem</w:t>
            </w:r>
          </w:p>
        </w:tc>
        <w:tc>
          <w:tcPr>
            <w:tcW w:w="6734" w:type="dxa"/>
            <w:tcBorders/>
          </w:tcPr>
          <w:p>
            <w:pPr>
              <w:pStyle w:val="Normal"/>
              <w:spacing w:before="0" w:after="160"/>
              <w:jc w:val="both"/>
              <w:rPr/>
            </w:pPr>
            <w:r>
              <w:rPr/>
              <w:t>A token that is a coupon or single use ticket, should be burned when it is redeemed.</w:t>
            </w:r>
          </w:p>
        </w:tc>
      </w:tr>
    </w:tbl>
    <w:p>
      <w:pPr>
        <w:pStyle w:val="Heading2"/>
        <w:jc w:val="left"/>
        <w:rPr/>
      </w:pPr>
      <w:r>
        <w:rPr/>
        <w:t>Dependencies</w:t>
      </w:r>
    </w:p>
    <w:p>
      <w:pPr>
        <w:pStyle w:val="Heading2"/>
        <w:jc w:val="left"/>
        <w:rPr/>
      </w:pPr>
      <w:r>
        <w:rPr/>
        <w:t>Incompatible With</w:t>
      </w:r>
    </w:p>
    <w:p>
      <w:pPr>
        <w:pStyle w:val="Heading2"/>
        <w:jc w:val="left"/>
        <w:rPr/>
      </w:pPr>
      <w:r>
        <w:rPr/>
        <w:t>Influenced By</w:t>
      </w:r>
    </w:p>
    <w:tbl>
      <w:tblPr>
        <w:tblStyle w:val="GridTable4-Accent1"/>
        <w:tblW w:w="5000" w:type="pct"/>
        <w:jc w:val="left"/>
        <w:tblInd w:w="0" w:type="dxa"/>
        <w:tblCellMar>
          <w:top w:w="0" w:type="dxa"/>
          <w:left w:w="108" w:type="dxa"/>
          <w:bottom w:w="0" w:type="dxa"/>
          <w:right w:w="108" w:type="dxa"/>
        </w:tblCellMar>
      </w:tblPr>
      <w:tblGrid>
        <w:gridCol w:w="6746"/>
        <w:gridCol w:w="1622"/>
        <w:gridCol w:w="1604"/>
      </w:tblGrid>
      <w:tr>
        <w:trPr/>
        <w:tc>
          <w:tcPr>
            <w:tcW w:w="6746"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c>
          <w:tcPr>
            <w:tcW w:w="162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Symbol</w:t>
            </w:r>
          </w:p>
        </w:tc>
        <w:tc>
          <w:tcPr>
            <w:tcW w:w="160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Applies To</w:t>
            </w:r>
          </w:p>
        </w:tc>
      </w:tr>
      <w:tr>
        <w:trPr/>
        <w:tc>
          <w:tcPr>
            <w:tcW w:w="6746" w:type="dxa"/>
            <w:tcBorders>
              <w:bottom w:val="single" w:sz="4" w:space="0" w:color="1CADE4"/>
            </w:tcBorders>
          </w:tcPr>
          <w:p>
            <w:pPr>
              <w:pStyle w:val="Normal"/>
              <w:spacing w:before="0" w:after="160"/>
              <w:jc w:val="both"/>
              <w:rPr>
                <w:b/>
                <w:b/>
                <w:bCs/>
              </w:rPr>
            </w:pPr>
            <w:r>
              <w:rPr>
                <w:b/>
                <w:bCs/>
              </w:rPr>
              <w:t>Delegable or not, will determine if the BurnFrom Control will be available in the implementation.</w:t>
            </w:r>
          </w:p>
        </w:tc>
        <w:tc>
          <w:tcPr>
            <w:tcW w:w="1622" w:type="dxa"/>
            <w:tcBorders>
              <w:bottom w:val="single" w:sz="4" w:space="0" w:color="1CADE4"/>
            </w:tcBorders>
          </w:tcPr>
          <w:p>
            <w:pPr>
              <w:pStyle w:val="Normal"/>
              <w:spacing w:before="0" w:after="160"/>
              <w:rPr>
                <w:b/>
                <w:b/>
                <w:bCs/>
              </w:rPr>
            </w:pPr>
            <w:r>
              <w:rPr>
                <w:b/>
                <w:bCs/>
              </w:rPr>
              <w:t>g</w:t>
            </w:r>
          </w:p>
        </w:tc>
        <w:tc>
          <w:tcPr>
            <w:tcW w:w="1604" w:type="dxa"/>
            <w:tcBorders>
              <w:bottom w:val="single" w:sz="4" w:space="0" w:color="1CADE4"/>
            </w:tcBorders>
          </w:tcPr>
          <w:p>
            <w:pPr>
              <w:pStyle w:val="Normal"/>
              <w:spacing w:before="0" w:after="160"/>
              <w:rPr/>
            </w:pPr>
            <w:r>
              <w:rPr/>
              <w:t>[ ]</w:t>
            </w:r>
          </w:p>
        </w:tc>
      </w:tr>
      <w:tr>
        <w:trPr/>
        <w:tc>
          <w:tcPr>
            <w:tcW w:w="6746" w:type="dxa"/>
            <w:tcBorders/>
          </w:tcPr>
          <w:p>
            <w:pPr>
              <w:pStyle w:val="Normal"/>
              <w:spacing w:before="0" w:after="160"/>
              <w:jc w:val="both"/>
              <w:rPr>
                <w:b/>
                <w:b/>
                <w:bCs/>
              </w:rPr>
            </w:pPr>
            <w:r>
              <w:rPr>
                <w:b/>
                <w:bCs/>
              </w:rPr>
              <w:t>If Compliance is present, a CheckBurnAllowed request has to be made and verified before a Burn request or a BurnFrom request.</w:t>
            </w:r>
          </w:p>
        </w:tc>
        <w:tc>
          <w:tcPr>
            <w:tcW w:w="1622" w:type="dxa"/>
            <w:tcBorders/>
          </w:tcPr>
          <w:p>
            <w:pPr>
              <w:pStyle w:val="Normal"/>
              <w:spacing w:before="0" w:after="160"/>
              <w:rPr>
                <w:b/>
                <w:b/>
                <w:bCs/>
              </w:rPr>
            </w:pPr>
            <w:r>
              <w:rPr>
                <w:b/>
                <w:bCs/>
              </w:rPr>
              <w:t>c</w:t>
            </w:r>
          </w:p>
        </w:tc>
        <w:tc>
          <w:tcPr>
            <w:tcW w:w="1604" w:type="dxa"/>
            <w:tcBorders/>
          </w:tcPr>
          <w:p>
            <w:pPr>
              <w:pStyle w:val="Normal"/>
              <w:spacing w:before="0" w:after="160"/>
              <w:rPr/>
            </w:pPr>
            <w:r>
              <w:rPr/>
              <w:t>[ ]</w:t>
            </w:r>
          </w:p>
        </w:tc>
      </w:tr>
    </w:tbl>
    <w:p>
      <w:pPr>
        <w:pStyle w:val="Heading2"/>
        <w:jc w:val="left"/>
        <w:rPr/>
      </w:pPr>
      <w:r>
        <w:rPr/>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burnable.proto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burnable.md</w:t>
            </w:r>
          </w:p>
        </w:tc>
        <w:tc>
          <w:tcPr>
            <w:tcW w:w="5112" w:type="dxa"/>
            <w:tcBorders/>
          </w:tcPr>
          <w:p>
            <w:pPr>
              <w:pStyle w:val="Normal"/>
              <w:spacing w:before="0" w:after="160"/>
              <w:rPr/>
            </w:pPr>
            <w:r>
              <w:rPr/>
            </w:r>
          </w:p>
        </w:tc>
      </w:tr>
    </w:tbl>
    <w:p>
      <w:pPr>
        <w:pStyle w:val="Heading2"/>
        <w:jc w:val="left"/>
        <w:rPr/>
      </w:pPr>
      <w:r>
        <w:rPr/>
        <w:t>Code Map</w:t>
      </w:r>
    </w:p>
    <w:tbl>
      <w:tblPr>
        <w:tblStyle w:val="GridTable4-Accent1"/>
        <w:tblW w:w="5000" w:type="pct"/>
        <w:jc w:val="left"/>
        <w:tblInd w:w="0" w:type="dxa"/>
        <w:tblCellMar>
          <w:top w:w="0" w:type="dxa"/>
          <w:left w:w="108" w:type="dxa"/>
          <w:bottom w:w="0" w:type="dxa"/>
          <w:right w:w="108" w:type="dxa"/>
        </w:tblCellMar>
      </w:tblPr>
      <w:tblGrid>
        <w:gridCol w:w="1437"/>
        <w:gridCol w:w="1532"/>
        <w:gridCol w:w="1891"/>
        <w:gridCol w:w="5111"/>
      </w:tblGrid>
      <w:tr>
        <w:trPr/>
        <w:tc>
          <w:tcPr>
            <w:tcW w:w="143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Map Type</w:t>
            </w:r>
          </w:p>
        </w:tc>
        <w:tc>
          <w:tcPr>
            <w:tcW w:w="1532"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189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Platform</w:t>
            </w:r>
          </w:p>
        </w:tc>
        <w:tc>
          <w:tcPr>
            <w:tcW w:w="5111"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Location</w:t>
            </w:r>
          </w:p>
        </w:tc>
      </w:tr>
      <w:tr>
        <w:trPr/>
        <w:tc>
          <w:tcPr>
            <w:tcW w:w="1437" w:type="dxa"/>
            <w:tcBorders>
              <w:bottom w:val="single" w:sz="4" w:space="0" w:color="1CADE4"/>
            </w:tcBorders>
          </w:tcPr>
          <w:p>
            <w:pPr>
              <w:pStyle w:val="Normal"/>
              <w:spacing w:before="0" w:after="160"/>
              <w:rPr>
                <w:b/>
                <w:b/>
                <w:bCs/>
              </w:rPr>
            </w:pPr>
            <w:r>
              <w:rPr>
                <w:b/>
                <w:bCs/>
              </w:rPr>
              <w:t>SourceCode</w:t>
            </w:r>
          </w:p>
        </w:tc>
        <w:tc>
          <w:tcPr>
            <w:tcW w:w="1532" w:type="dxa"/>
            <w:tcBorders>
              <w:bottom w:val="single" w:sz="4" w:space="0" w:color="1CADE4"/>
            </w:tcBorders>
          </w:tcPr>
          <w:p>
            <w:pPr>
              <w:pStyle w:val="Normal"/>
              <w:spacing w:before="0" w:after="160"/>
              <w:rPr>
                <w:b/>
                <w:b/>
                <w:bCs/>
              </w:rPr>
            </w:pPr>
            <w:r>
              <w:rPr>
                <w:b/>
                <w:bCs/>
              </w:rPr>
              <w:t>Openzeppelin</w:t>
            </w:r>
          </w:p>
        </w:tc>
        <w:tc>
          <w:tcPr>
            <w:tcW w:w="1891" w:type="dxa"/>
            <w:tcBorders>
              <w:bottom w:val="single" w:sz="4" w:space="0" w:color="1CADE4"/>
            </w:tcBorders>
          </w:tcPr>
          <w:p>
            <w:pPr>
              <w:pStyle w:val="Normal"/>
              <w:spacing w:before="0" w:after="160"/>
              <w:rPr>
                <w:b/>
                <w:b/>
                <w:bCs/>
              </w:rPr>
            </w:pPr>
            <w:r>
              <w:rPr>
                <w:b/>
                <w:bCs/>
              </w:rPr>
              <w:t>EthereumSolidity</w:t>
            </w:r>
          </w:p>
        </w:tc>
        <w:tc>
          <w:tcPr>
            <w:tcW w:w="5111" w:type="dxa"/>
            <w:tcBorders>
              <w:bottom w:val="single" w:sz="4" w:space="0" w:color="1CADE4"/>
            </w:tcBorders>
          </w:tcPr>
          <w:p>
            <w:pPr>
              <w:pStyle w:val="Normal"/>
              <w:spacing w:before="0" w:after="160"/>
              <w:rPr/>
            </w:pPr>
            <w:r>
              <w:rPr/>
              <w:t>https://github.com/OpenZeppelin/openzeppelin-contracts/blob/master/contracts/token/ERC20/ERC20Burnable.sol</w:t>
            </w:r>
          </w:p>
        </w:tc>
      </w:tr>
    </w:tbl>
    <w:p>
      <w:pPr>
        <w:pStyle w:val="Heading2"/>
        <w:jc w:val="left"/>
        <w:rPr/>
      </w:pPr>
      <w:r>
        <w:rPr/>
        <w:t>Implementation Map</w:t>
      </w:r>
    </w:p>
    <w:p>
      <w:pPr>
        <w:pStyle w:val="Heading2"/>
        <w:jc w:val="left"/>
        <w:rPr/>
      </w:pPr>
      <w:r>
        <w:rPr/>
        <w:t>Resource Map</w:t>
      </w:r>
    </w:p>
    <w:p>
      <w:pPr>
        <w:pStyle w:val="Heading2"/>
        <w:jc w:val="left"/>
        <w:rPr/>
      </w:pPr>
      <w:r>
        <w:rPr/>
        <w:t>Specification Behavior</w:t>
      </w:r>
    </w:p>
    <w:p>
      <w:pPr>
        <w:pStyle w:val="Normal"/>
        <w:jc w:val="left"/>
        <w:rPr/>
      </w:pPr>
      <w:r>
        <w:rPr/>
      </w:r>
    </w:p>
    <w:p>
      <w:pPr>
        <w:pStyle w:val="Normal"/>
        <w:jc w:val="left"/>
        <w:rPr/>
      </w:pPr>
      <w:r>
        <w:rPr/>
      </w:r>
    </w:p>
    <w:p>
      <w:pPr>
        <w:pStyle w:val="Normal"/>
        <w:numPr>
          <w:ilvl w:val="0"/>
          <w:numId w:val="0"/>
        </w:numPr>
        <w:spacing w:before="0" w:after="0"/>
        <w:ind w:left="0" w:right="0" w:hanging="0"/>
        <w:jc w:val="center"/>
        <w:rPr>
          <w:rFonts w:ascii="Liberation Serif" w:hAnsi="Liberation Serif" w:eastAsia="DejaVu Sans" w:cs="DejaVu Sans"/>
          <w:sz w:val="36"/>
          <w:szCs w:val="32"/>
          <w:u w:val="single"/>
        </w:rPr>
      </w:pPr>
      <w:r>
        <w:rPr>
          <w:rFonts w:eastAsia="DejaVu Sans" w:cs="DejaVu Sans"/>
          <w:sz w:val="36"/>
          <w:szCs w:val="32"/>
          <w:u w:val="single"/>
        </w:rPr>
        <w:t>Roles</w:t>
      </w:r>
    </w:p>
    <w:tbl>
      <w:tblPr>
        <w:tblStyle w:val="GridTable4-Accent1"/>
        <w:tblW w:w="5000" w:type="pct"/>
        <w:jc w:val="left"/>
        <w:tblInd w:w="0" w:type="dxa"/>
        <w:tblCellMar>
          <w:top w:w="0" w:type="dxa"/>
          <w:left w:w="108" w:type="dxa"/>
          <w:bottom w:w="0" w:type="dxa"/>
          <w:right w:w="108" w:type="dxa"/>
        </w:tblCellMar>
      </w:tblPr>
      <w:tblGrid>
        <w:gridCol w:w="4985"/>
        <w:gridCol w:w="4986"/>
      </w:tblGrid>
      <w:tr>
        <w:trPr/>
        <w:tc>
          <w:tcPr>
            <w:tcW w:w="4985"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Type:</w:t>
            </w:r>
          </w:p>
        </w:tc>
        <w:tc>
          <w:tcPr>
            <w:tcW w:w="4986"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Behavior</w:t>
            </w:r>
          </w:p>
        </w:tc>
      </w:tr>
      <w:tr>
        <w:trPr/>
        <w:tc>
          <w:tcPr>
            <w:tcW w:w="9971" w:type="dxa"/>
            <w:gridSpan w:val="2"/>
            <w:tcBorders/>
            <w:shd w:color="auto" w:fill="D1EEF9" w:themeFill="accent1" w:themeFillTint="33" w:val="clear"/>
          </w:tcPr>
          <w:p>
            <w:pPr>
              <w:pStyle w:val="Normal"/>
              <w:spacing w:before="0" w:after="160"/>
              <w:rPr>
                <w:b/>
                <w:b/>
                <w:bCs/>
              </w:rPr>
            </w:pPr>
            <w:r>
              <w:rPr>
                <w:b/>
                <w:bCs/>
              </w:rPr>
              <w:t>Roles</w:t>
            </w:r>
          </w:p>
        </w:tc>
      </w:tr>
      <w:tr>
        <w:trPr/>
        <w:tc>
          <w:tcPr>
            <w:tcW w:w="4985" w:type="dxa"/>
            <w:tcBorders/>
          </w:tcPr>
          <w:p>
            <w:pPr>
              <w:pStyle w:val="Normal"/>
              <w:spacing w:before="0" w:after="160"/>
              <w:rPr>
                <w:b/>
                <w:b/>
                <w:bCs/>
              </w:rPr>
            </w:pPr>
            <w:r>
              <w:rPr>
                <w:b/>
                <w:bCs/>
              </w:rPr>
              <w:t>Id:</w:t>
            </w:r>
          </w:p>
        </w:tc>
        <w:tc>
          <w:tcPr>
            <w:tcW w:w="4986" w:type="dxa"/>
            <w:tcBorders/>
          </w:tcPr>
          <w:p>
            <w:pPr>
              <w:pStyle w:val="Normal"/>
              <w:spacing w:before="0" w:after="160"/>
              <w:rPr/>
            </w:pPr>
            <w:r>
              <w:rPr/>
              <w:t>c32726da-9787-4dd8-8de3-d07d1733d0f6</w:t>
            </w:r>
          </w:p>
        </w:tc>
      </w:tr>
      <w:tr>
        <w:trPr/>
        <w:tc>
          <w:tcPr>
            <w:tcW w:w="9971" w:type="dxa"/>
            <w:gridSpan w:val="2"/>
            <w:tcBorders/>
            <w:shd w:color="auto" w:fill="D1EEF9" w:themeFill="accent1" w:themeFillTint="33" w:val="clear"/>
          </w:tcPr>
          <w:p>
            <w:pPr>
              <w:pStyle w:val="Normal"/>
              <w:spacing w:before="0" w:after="160"/>
              <w:rPr>
                <w:b/>
                <w:b/>
                <w:bCs/>
              </w:rPr>
            </w:pPr>
            <w:r>
              <w:rPr>
                <w:b/>
                <w:bCs/>
              </w:rPr>
              <w:t>&lt;i&gt;r&lt;/i&gt;</w:t>
            </w:r>
          </w:p>
        </w:tc>
      </w:tr>
      <w:tr>
        <w:trPr/>
        <w:tc>
          <w:tcPr>
            <w:tcW w:w="4985" w:type="dxa"/>
            <w:tcBorders/>
          </w:tcPr>
          <w:p>
            <w:pPr>
              <w:pStyle w:val="Normal"/>
              <w:spacing w:before="0" w:after="160"/>
              <w:rPr>
                <w:b/>
                <w:b/>
                <w:bCs/>
              </w:rPr>
            </w:pPr>
            <w:r>
              <w:rPr>
                <w:b/>
                <w:bCs/>
              </w:rPr>
              <w:t>Tooling:</w:t>
            </w:r>
          </w:p>
        </w:tc>
        <w:tc>
          <w:tcPr>
            <w:tcW w:w="4986" w:type="dxa"/>
            <w:tcBorders/>
          </w:tcPr>
          <w:p>
            <w:pPr>
              <w:pStyle w:val="Normal"/>
              <w:spacing w:before="0" w:after="160"/>
              <w:rPr/>
            </w:pPr>
            <w:r>
              <w:rPr/>
              <w:t>r</w:t>
            </w:r>
          </w:p>
        </w:tc>
      </w:tr>
      <w:tr>
        <w:trPr/>
        <w:tc>
          <w:tcPr>
            <w:tcW w:w="9971" w:type="dxa"/>
            <w:gridSpan w:val="2"/>
            <w:tcBorders/>
            <w:shd w:color="auto" w:fill="D1EEF9" w:themeFill="accent1" w:themeFillTint="33" w:val="clear"/>
          </w:tcPr>
          <w:p>
            <w:pPr>
              <w:pStyle w:val="Normal"/>
              <w:spacing w:before="0" w:after="160"/>
              <w:rPr>
                <w:b/>
                <w:b/>
                <w:bCs/>
              </w:rPr>
            </w:pPr>
            <w:r>
              <w:rPr>
                <w:b/>
                <w:bCs/>
              </w:rPr>
              <w:t>1.0</w:t>
            </w:r>
          </w:p>
        </w:tc>
      </w:tr>
    </w:tbl>
    <w:p>
      <w:pPr>
        <w:pStyle w:val="Heading2"/>
        <w:jc w:val="left"/>
        <w:rPr>
          <w:sz w:val="16"/>
          <w:szCs w:val="16"/>
        </w:rPr>
      </w:pPr>
      <w:r>
        <w:rPr>
          <w:sz w:val="16"/>
          <w:szCs w:val="16"/>
        </w:rPr>
      </w:r>
    </w:p>
    <w:p>
      <w:pPr>
        <w:pStyle w:val="Heading2"/>
        <w:jc w:val="left"/>
        <w:rPr/>
      </w:pPr>
      <w:r>
        <w:rPr/>
        <w:t>Definition</w:t>
      </w:r>
    </w:p>
    <w:p>
      <w:pPr>
        <w:pStyle w:val="Quote"/>
        <w:jc w:val="both"/>
        <w:rPr/>
      </w:pPr>
      <w:r>
        <w:rP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rPr/>
      </w:pPr>
      <w:r>
        <w:rPr/>
        <w:t xml:space="preserve">Example </w:t>
      </w:r>
    </w:p>
    <w:p>
      <w:pPr>
        <w:pStyle w:val="Heading2"/>
        <w:jc w:val="left"/>
        <w:rPr/>
      </w:pPr>
      <w:r>
        <w:rPr/>
        <w:t>Analogies</w:t>
      </w:r>
    </w:p>
    <w:tbl>
      <w:tblPr>
        <w:tblStyle w:val="GridTable4-Accent1"/>
        <w:tblW w:w="5000" w:type="pct"/>
        <w:jc w:val="left"/>
        <w:tblInd w:w="0" w:type="dxa"/>
        <w:tblCellMar>
          <w:top w:w="0" w:type="dxa"/>
          <w:left w:w="108" w:type="dxa"/>
          <w:bottom w:w="0" w:type="dxa"/>
          <w:right w:w="108" w:type="dxa"/>
        </w:tblCellMar>
      </w:tblPr>
      <w:tblGrid>
        <w:gridCol w:w="3237"/>
        <w:gridCol w:w="6734"/>
      </w:tblGrid>
      <w:tr>
        <w:trPr/>
        <w:tc>
          <w:tcPr>
            <w:tcW w:w="3237"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Name:</w:t>
            </w:r>
          </w:p>
        </w:tc>
        <w:tc>
          <w:tcPr>
            <w:tcW w:w="6734"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Description</w:t>
            </w:r>
          </w:p>
        </w:tc>
      </w:tr>
      <w:tr>
        <w:trPr/>
        <w:tc>
          <w:tcPr>
            <w:tcW w:w="3237" w:type="dxa"/>
            <w:tcBorders/>
          </w:tcPr>
          <w:p>
            <w:pPr>
              <w:pStyle w:val="Normal"/>
              <w:spacing w:before="0" w:after="160"/>
              <w:rPr>
                <w:b/>
                <w:b/>
                <w:bCs/>
              </w:rPr>
            </w:pPr>
            <w:r>
              <w:rPr>
                <w:b/>
                <w:bCs/>
              </w:rPr>
              <w:t>Minters</w:t>
            </w:r>
          </w:p>
        </w:tc>
        <w:tc>
          <w:tcPr>
            <w:tcW w:w="6734" w:type="dxa"/>
            <w:tcBorders/>
          </w:tcPr>
          <w:p>
            <w:pPr>
              <w:pStyle w:val="Normal"/>
              <w:spacing w:before="0" w:after="160"/>
              <w:jc w:val="both"/>
              <w:rPr/>
            </w:pPr>
            <w:r>
              <w:rPr/>
              <w:t>A role called 'Minters' for a token can have accounts in the role. The MintTo behavior invocation will be bound to the role check to ensure only account in the 'Minters' role are allowed to mint new instances in the class.</w:t>
            </w:r>
          </w:p>
        </w:tc>
      </w:tr>
    </w:tbl>
    <w:p>
      <w:pPr>
        <w:pStyle w:val="Heading2"/>
        <w:jc w:val="left"/>
        <w:rPr/>
      </w:pPr>
      <w:r>
        <w:rPr/>
        <w:t>Dependencies</w:t>
      </w:r>
    </w:p>
    <w:p>
      <w:pPr>
        <w:pStyle w:val="Heading2"/>
        <w:jc w:val="left"/>
        <w:rPr/>
      </w:pPr>
      <w:r>
        <w:rPr/>
        <w:t>Incompatible With</w:t>
      </w:r>
    </w:p>
    <w:p>
      <w:pPr>
        <w:pStyle w:val="Heading2"/>
        <w:jc w:val="left"/>
        <w:rPr/>
      </w:pPr>
      <w:r>
        <w:rPr/>
        <w:t>Influenced By</w:t>
      </w:r>
    </w:p>
    <w:p>
      <w:pPr>
        <w:pStyle w:val="Heading2"/>
        <w:jc w:val="left"/>
        <w:rPr/>
      </w:pPr>
      <w:r>
        <w:rPr/>
        <w:t>Artifact Files</w:t>
      </w:r>
    </w:p>
    <w:tbl>
      <w:tblPr>
        <w:tblStyle w:val="GridTable4-Accent1"/>
        <w:tblW w:w="5000" w:type="pct"/>
        <w:jc w:val="left"/>
        <w:tblInd w:w="0" w:type="dxa"/>
        <w:tblCellMar>
          <w:top w:w="0" w:type="dxa"/>
          <w:left w:w="108" w:type="dxa"/>
          <w:bottom w:w="0" w:type="dxa"/>
          <w:right w:w="108" w:type="dxa"/>
        </w:tblCellMar>
      </w:tblPr>
      <w:tblGrid>
        <w:gridCol w:w="1527"/>
        <w:gridCol w:w="3333"/>
        <w:gridCol w:w="5112"/>
      </w:tblGrid>
      <w:tr>
        <w:trPr/>
        <w:tc>
          <w:tcPr>
            <w:tcW w:w="1527" w:type="dxa"/>
            <w:tcBorders>
              <w:top w:val="single" w:sz="4" w:space="0" w:color="1CADE4"/>
              <w:left w:val="single" w:sz="4" w:space="0" w:color="1CADE4"/>
              <w:bottom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Content Type</w:t>
            </w:r>
          </w:p>
        </w:tc>
        <w:tc>
          <w:tcPr>
            <w:tcW w:w="3333"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Name</w:t>
            </w:r>
          </w:p>
        </w:tc>
        <w:tc>
          <w:tcPr>
            <w:tcW w:w="5112" w:type="dxa"/>
            <w:tcBorders>
              <w:top w:val="single" w:sz="4" w:space="0" w:color="1CADE4"/>
              <w:left w:val="single" w:sz="4" w:space="0" w:color="1CADE4"/>
              <w:bottom w:val="single" w:sz="4" w:space="0" w:color="1CADE4"/>
              <w:right w:val="single" w:sz="4" w:space="0" w:color="1CADE4"/>
            </w:tcBorders>
            <w:shd w:color="auto" w:fill="1CADE4" w:themeFill="accent1" w:val="clear"/>
          </w:tcPr>
          <w:p>
            <w:pPr>
              <w:pStyle w:val="Normal"/>
              <w:spacing w:before="0" w:after="160"/>
              <w:rPr>
                <w:b/>
                <w:b/>
                <w:bCs/>
                <w:color w:val="FFFFFF" w:themeColor="background1"/>
              </w:rPr>
            </w:pPr>
            <w:r>
              <w:rPr>
                <w:b/>
                <w:bCs/>
                <w:color w:val="FFFFFF" w:themeColor="background1"/>
              </w:rPr>
              <w:t>File Content</w:t>
            </w:r>
          </w:p>
        </w:tc>
      </w:tr>
      <w:tr>
        <w:trPr/>
        <w:tc>
          <w:tcPr>
            <w:tcW w:w="1527" w:type="dxa"/>
            <w:tcBorders>
              <w:bottom w:val="single" w:sz="4" w:space="0" w:color="1CADE4"/>
            </w:tcBorders>
          </w:tcPr>
          <w:p>
            <w:pPr>
              <w:pStyle w:val="Normal"/>
              <w:spacing w:before="0" w:after="160"/>
              <w:rPr>
                <w:b/>
                <w:b/>
                <w:bCs/>
              </w:rPr>
            </w:pPr>
            <w:r>
              <w:rPr>
                <w:b/>
                <w:bCs/>
              </w:rPr>
              <w:t>Control</w:t>
            </w:r>
          </w:p>
        </w:tc>
        <w:tc>
          <w:tcPr>
            <w:tcW w:w="3333" w:type="dxa"/>
            <w:tcBorders>
              <w:bottom w:val="single" w:sz="4" w:space="0" w:color="1CADE4"/>
            </w:tcBorders>
          </w:tcPr>
          <w:p>
            <w:pPr>
              <w:pStyle w:val="Normal"/>
              <w:spacing w:before="0" w:after="160"/>
              <w:rPr>
                <w:b/>
                <w:b/>
                <w:bCs/>
              </w:rPr>
            </w:pPr>
            <w:r>
              <w:rPr>
                <w:b/>
                <w:bCs/>
              </w:rPr>
              <w:t>roles.proto</w:t>
            </w:r>
          </w:p>
        </w:tc>
        <w:tc>
          <w:tcPr>
            <w:tcW w:w="5112" w:type="dxa"/>
            <w:tcBorders>
              <w:bottom w:val="single" w:sz="4" w:space="0" w:color="1CADE4"/>
            </w:tcBorders>
          </w:tcPr>
          <w:p>
            <w:pPr>
              <w:pStyle w:val="Normal"/>
              <w:spacing w:before="0" w:after="160"/>
              <w:rPr/>
            </w:pPr>
            <w:r>
              <w:rPr/>
            </w:r>
          </w:p>
        </w:tc>
      </w:tr>
      <w:tr>
        <w:trPr/>
        <w:tc>
          <w:tcPr>
            <w:tcW w:w="1527" w:type="dxa"/>
            <w:tcBorders/>
          </w:tcPr>
          <w:p>
            <w:pPr>
              <w:pStyle w:val="Normal"/>
              <w:spacing w:before="0" w:after="160"/>
              <w:rPr>
                <w:b/>
                <w:b/>
                <w:bCs/>
              </w:rPr>
            </w:pPr>
            <w:r>
              <w:rPr>
                <w:b/>
                <w:bCs/>
              </w:rPr>
              <w:t>Uml</w:t>
            </w:r>
          </w:p>
        </w:tc>
        <w:tc>
          <w:tcPr>
            <w:tcW w:w="3333" w:type="dxa"/>
            <w:tcBorders/>
          </w:tcPr>
          <w:p>
            <w:pPr>
              <w:pStyle w:val="Normal"/>
              <w:spacing w:before="0" w:after="160"/>
              <w:rPr>
                <w:b/>
                <w:b/>
                <w:bCs/>
              </w:rPr>
            </w:pPr>
            <w:r>
              <w:rPr>
                <w:b/>
                <w:bCs/>
              </w:rPr>
              <w:t>roles.md</w:t>
            </w:r>
          </w:p>
        </w:tc>
        <w:tc>
          <w:tcPr>
            <w:tcW w:w="5112" w:type="dxa"/>
            <w:tcBorders/>
          </w:tcPr>
          <w:p>
            <w:pPr>
              <w:pStyle w:val="Normal"/>
              <w:spacing w:before="0" w:after="160"/>
              <w:rPr/>
            </w:pPr>
            <w:r>
              <w:rPr/>
            </w:r>
          </w:p>
        </w:tc>
      </w:tr>
    </w:tbl>
    <w:p>
      <w:pPr>
        <w:pStyle w:val="Heading2"/>
        <w:jc w:val="left"/>
        <w:rPr/>
      </w:pPr>
      <w:r>
        <w:rPr/>
        <w:t>Code Map</w:t>
      </w:r>
    </w:p>
    <w:p>
      <w:pPr>
        <w:pStyle w:val="Heading2"/>
        <w:jc w:val="left"/>
        <w:rPr/>
      </w:pPr>
      <w:r>
        <w:rPr/>
        <w:t>Implementation Map</w:t>
      </w:r>
    </w:p>
    <w:p>
      <w:pPr>
        <w:pStyle w:val="Heading2"/>
        <w:jc w:val="left"/>
        <w:rPr/>
      </w:pPr>
      <w:r>
        <w:rPr/>
        <w:t>Resource Map</w:t>
      </w:r>
    </w:p>
    <w:p>
      <w:pPr>
        <w:pStyle w:val="Heading2"/>
        <w:spacing w:before="160" w:after="40"/>
        <w:jc w:val="left"/>
        <w:rPr/>
      </w:pPr>
      <w:r>
        <w:rPr/>
        <w:t>Specification Behavior</w:t>
      </w:r>
    </w:p>
    <w:sectPr>
      <w:type w:val="nextPage"/>
      <w:pgSz w:w="12240" w:h="15840"/>
      <w:pgMar w:left="1134" w:right="1134" w:header="0" w:top="1134" w:footer="0" w:bottom="1134" w:gutter="0"/>
      <w:pgNumType w:fmt="decimal"/>
      <w:formProt w:val="false"/>
      <w:textDirection w:val="lrTb"/>
      <w:docGrid w:type="default" w:linePitch="600" w:charSpace="3850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1"/>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00" w:before="0" w:after="160"/>
      <w:jc w:val="left"/>
    </w:pPr>
    <w:rPr>
      <w:rFonts w:ascii="Liberation Serif" w:hAnsi="Liberation Serif" w:eastAsia="DejaVu Sans" w:cs="DejaVu Sans"/>
      <w:color w:val="auto"/>
      <w:kern w:val="0"/>
      <w:sz w:val="21"/>
      <w:szCs w:val="21"/>
      <w:lang w:val="en-US" w:eastAsia="en-US" w:bidi="ar-SA"/>
    </w:rPr>
  </w:style>
  <w:style w:type="paragraph" w:styleId="Heading1">
    <w:name w:val="Heading 1"/>
    <w:basedOn w:val="Normal"/>
    <w:next w:val="Normal"/>
    <w:qFormat/>
    <w:pPr>
      <w:keepNext w:val="true"/>
      <w:keepLines/>
      <w:spacing w:lineRule="auto" w:line="240" w:before="320" w:after="80"/>
      <w:jc w:val="center"/>
      <w:outlineLvl w:val="0"/>
    </w:pPr>
    <w:rPr>
      <w:rFonts w:ascii="Liberation Serif" w:hAnsi="Liberation Serif" w:eastAsia="DejaVu Sans" w:cs="DejaVu Sans"/>
      <w:b/>
      <w:color w:val="1481AB"/>
      <w:sz w:val="40"/>
      <w:szCs w:val="40"/>
    </w:rPr>
  </w:style>
  <w:style w:type="paragraph" w:styleId="Heading2">
    <w:name w:val="Heading 2"/>
    <w:basedOn w:val="Normal"/>
    <w:next w:val="Normal"/>
    <w:qFormat/>
    <w:pPr>
      <w:keepNext w:val="true"/>
      <w:keepLines/>
      <w:spacing w:lineRule="auto" w:line="240" w:before="160" w:after="40"/>
      <w:jc w:val="center"/>
      <w:outlineLvl w:val="1"/>
    </w:pPr>
    <w:rPr>
      <w:rFonts w:ascii="Liberation Serif" w:hAnsi="Liberation Serif" w:eastAsia="DejaVu Sans" w:cs="DejaVu Sans"/>
      <w:sz w:val="36"/>
      <w:szCs w:val="32"/>
      <w:u w:val="single"/>
    </w:rPr>
  </w:style>
  <w:style w:type="paragraph" w:styleId="Heading3">
    <w:name w:val="Heading 3"/>
    <w:basedOn w:val="Normal"/>
    <w:next w:val="Normal"/>
    <w:qFormat/>
    <w:pPr>
      <w:keepNext w:val="true"/>
      <w:keepLines/>
      <w:spacing w:lineRule="auto" w:line="240" w:before="160" w:after="0"/>
      <w:outlineLvl w:val="2"/>
    </w:pPr>
    <w:rPr>
      <w:rFonts w:ascii="Liberation Serif" w:hAnsi="Liberation Serif" w:eastAsia="DejaVu Sans" w:cs="DejaVu Sans"/>
      <w:sz w:val="36"/>
      <w:szCs w:val="32"/>
    </w:rPr>
  </w:style>
  <w:style w:type="paragraph" w:styleId="Heading4">
    <w:name w:val="Heading 4"/>
    <w:basedOn w:val="Normal"/>
    <w:next w:val="Normal"/>
    <w:qFormat/>
    <w:pPr>
      <w:keepNext w:val="true"/>
      <w:keepLines/>
      <w:spacing w:before="80" w:after="0"/>
      <w:outlineLvl w:val="3"/>
    </w:pPr>
    <w:rPr>
      <w:rFonts w:ascii="Liberation Serif" w:hAnsi="Liberation Serif" w:eastAsia="DejaVu Sans" w:cs="DejaVu Sans"/>
      <w:i/>
      <w:iCs/>
      <w:sz w:val="32"/>
      <w:szCs w:val="30"/>
    </w:rPr>
  </w:style>
  <w:style w:type="paragraph" w:styleId="Heading5">
    <w:name w:val="Heading 5"/>
    <w:basedOn w:val="Normal"/>
    <w:next w:val="Normal"/>
    <w:qFormat/>
    <w:pPr>
      <w:keepNext w:val="true"/>
      <w:keepLines/>
      <w:spacing w:before="40" w:after="0"/>
      <w:outlineLvl w:val="4"/>
    </w:pPr>
    <w:rPr>
      <w:rFonts w:ascii="Liberation Serif" w:hAnsi="Liberation Serif" w:eastAsia="DejaVu Sans" w:cs="DejaVu Sans"/>
      <w:b/>
      <w:sz w:val="28"/>
      <w:szCs w:val="28"/>
    </w:rPr>
  </w:style>
  <w:style w:type="paragraph" w:styleId="Heading6">
    <w:name w:val="Heading 6"/>
    <w:basedOn w:val="Normal"/>
    <w:next w:val="Normal"/>
    <w:qFormat/>
    <w:pPr>
      <w:keepNext w:val="true"/>
      <w:keepLines/>
      <w:spacing w:before="40" w:after="0"/>
      <w:outlineLvl w:val="5"/>
    </w:pPr>
    <w:rPr>
      <w:rFonts w:ascii="Liberation Serif" w:hAnsi="Liberation Serif" w:eastAsia="DejaVu Sans" w:cs="DejaVu Sans"/>
      <w:i/>
      <w:iCs/>
      <w:sz w:val="26"/>
      <w:szCs w:val="26"/>
      <w:u w:val="single"/>
    </w:rPr>
  </w:style>
  <w:style w:type="paragraph" w:styleId="Heading7">
    <w:name w:val="Heading 7"/>
    <w:basedOn w:val="Normal"/>
    <w:next w:val="Normal"/>
    <w:qFormat/>
    <w:pPr>
      <w:keepNext w:val="true"/>
      <w:keepLines/>
      <w:spacing w:before="40" w:after="0"/>
      <w:outlineLvl w:val="6"/>
    </w:pPr>
    <w:rPr>
      <w:rFonts w:ascii="Liberation Serif" w:hAnsi="Liberation Serif" w:eastAsia="DejaVu Sans" w:cs="DejaVu Sans"/>
      <w:sz w:val="24"/>
      <w:szCs w:val="24"/>
    </w:rPr>
  </w:style>
  <w:style w:type="paragraph" w:styleId="Heading8">
    <w:name w:val="Heading 8"/>
    <w:basedOn w:val="Normal"/>
    <w:next w:val="Normal"/>
    <w:qFormat/>
    <w:pPr>
      <w:keepNext w:val="true"/>
      <w:keepLines/>
      <w:spacing w:before="40" w:after="0"/>
      <w:outlineLvl w:val="7"/>
    </w:pPr>
    <w:rPr>
      <w:rFonts w:ascii="Liberation Serif" w:hAnsi="Liberation Serif" w:eastAsia="DejaVu Sans" w:cs="DejaVu Sans"/>
      <w:i/>
      <w:iCs/>
      <w:sz w:val="22"/>
      <w:szCs w:val="22"/>
    </w:rPr>
  </w:style>
  <w:style w:type="paragraph" w:styleId="Heading9">
    <w:name w:val="Heading 9"/>
    <w:basedOn w:val="Normal"/>
    <w:next w:val="Normal"/>
    <w:qFormat/>
    <w:pPr>
      <w:keepNext w:val="true"/>
      <w:keepLines/>
      <w:spacing w:before="40" w:after="0"/>
      <w:outlineLvl w:val="8"/>
    </w:pPr>
    <w:rPr>
      <w:b/>
      <w:bCs/>
      <w:i/>
      <w:iCs/>
    </w:rPr>
  </w:style>
  <w:style w:type="character" w:styleId="DefaultParagraphFont">
    <w:name w:val="Default Paragraph Font"/>
    <w:qFormat/>
    <w:rPr/>
  </w:style>
  <w:style w:type="character" w:styleId="Defaultparagraphfont1">
    <w:name w:val="defaultparagraphfont"/>
    <w:basedOn w:val="DefaultParagraphFont"/>
    <w:qFormat/>
    <w:rPr/>
  </w:style>
  <w:style w:type="character" w:styleId="Emphasis1">
    <w:name w:val="Emphasis1"/>
    <w:basedOn w:val="DefaultParagraphFont"/>
    <w:qFormat/>
    <w:rPr/>
  </w:style>
  <w:style w:type="character" w:styleId="Heading1Char">
    <w:name w:val="Heading 1 Char"/>
    <w:basedOn w:val="DefaultParagraphFont"/>
    <w:qFormat/>
    <w:rPr>
      <w:rFonts w:ascii="Liberation Serif" w:hAnsi="Liberation Serif" w:eastAsia="DejaVu Sans" w:cs="DejaVu Sans"/>
      <w:b/>
      <w:color w:val="1481AB"/>
      <w:sz w:val="40"/>
      <w:szCs w:val="40"/>
    </w:rPr>
  </w:style>
  <w:style w:type="character" w:styleId="TitleChar">
    <w:name w:val="Title Char"/>
    <w:basedOn w:val="DefaultParagraphFont"/>
    <w:qFormat/>
    <w:rPr>
      <w:rFonts w:ascii="Liberation Serif" w:hAnsi="Liberation Serif" w:eastAsia="DejaVu Sans" w:cs="DejaVu Sans"/>
      <w:caps/>
      <w:color w:val="1485A4"/>
      <w:spacing w:val="30"/>
      <w:sz w:val="72"/>
      <w:szCs w:val="72"/>
    </w:rPr>
  </w:style>
  <w:style w:type="character" w:styleId="HeaderChar">
    <w:name w:val="Header Char"/>
    <w:basedOn w:val="DefaultParagraphFont"/>
    <w:qFormat/>
    <w:rPr>
      <w:sz w:val="22"/>
      <w:szCs w:val="22"/>
    </w:rPr>
  </w:style>
  <w:style w:type="character" w:styleId="FooterChar">
    <w:name w:val="Footer Char"/>
    <w:basedOn w:val="DefaultParagraphFont"/>
    <w:qFormat/>
    <w:rPr>
      <w:sz w:val="22"/>
      <w:szCs w:val="22"/>
    </w:rPr>
  </w:style>
  <w:style w:type="character" w:styleId="Pagenumber">
    <w:name w:val="page number"/>
    <w:basedOn w:val="DefaultParagraphFont"/>
    <w:qFormat/>
    <w:rPr/>
  </w:style>
  <w:style w:type="character" w:styleId="SubtleEmphasis">
    <w:name w:val="Subtle Emphasis"/>
    <w:basedOn w:val="DefaultParagraphFont"/>
    <w:qFormat/>
    <w:rPr>
      <w:i/>
      <w:iCs/>
      <w:color w:val="595959"/>
    </w:rPr>
  </w:style>
  <w:style w:type="character" w:styleId="Emphasis">
    <w:name w:val="Emphasis"/>
    <w:basedOn w:val="DefaultParagraphFont"/>
    <w:qFormat/>
    <w:rPr>
      <w:rFonts w:ascii="Liberation Serif" w:hAnsi="Liberation Serif"/>
      <w:i/>
      <w:iCs/>
      <w:color w:val="000000"/>
      <w:sz w:val="32"/>
    </w:rPr>
  </w:style>
  <w:style w:type="character" w:styleId="Heading2Char">
    <w:name w:val="Heading 2 Char"/>
    <w:basedOn w:val="DefaultParagraphFont"/>
    <w:qFormat/>
    <w:rPr>
      <w:rFonts w:ascii="Liberation Serif" w:hAnsi="Liberation Serif" w:eastAsia="DejaVu Sans" w:cs="DejaVu Sans"/>
      <w:sz w:val="36"/>
      <w:szCs w:val="32"/>
      <w:u w:val="single"/>
    </w:rPr>
  </w:style>
  <w:style w:type="character" w:styleId="Heading3Char">
    <w:name w:val="Heading 3 Char"/>
    <w:basedOn w:val="DefaultParagraphFont"/>
    <w:qFormat/>
    <w:rPr>
      <w:rFonts w:ascii="Liberation Serif" w:hAnsi="Liberation Serif" w:eastAsia="DejaVu Sans" w:cs="DejaVu Sans"/>
      <w:sz w:val="36"/>
      <w:szCs w:val="32"/>
    </w:rPr>
  </w:style>
  <w:style w:type="character" w:styleId="InternetLink">
    <w:name w:val="Hyperlink"/>
    <w:basedOn w:val="DefaultParagraphFont"/>
    <w:rPr>
      <w:color w:val="F49100"/>
      <w:u w:val="single"/>
    </w:rPr>
  </w:style>
  <w:style w:type="character" w:styleId="UnresolvedMention">
    <w:name w:val="Unresolved Mention"/>
    <w:basedOn w:val="DefaultParagraphFont"/>
    <w:qFormat/>
    <w:rPr>
      <w:color w:val="605E5C"/>
      <w:highlight w:val="lightGray"/>
    </w:rPr>
  </w:style>
  <w:style w:type="character" w:styleId="Heading4Char">
    <w:name w:val="Heading 4 Char"/>
    <w:basedOn w:val="DefaultParagraphFont"/>
    <w:qFormat/>
    <w:rPr>
      <w:rFonts w:ascii="Liberation Serif" w:hAnsi="Liberation Serif" w:eastAsia="DejaVu Sans" w:cs="DejaVu Sans"/>
      <w:i/>
      <w:iCs/>
      <w:sz w:val="32"/>
      <w:szCs w:val="30"/>
    </w:rPr>
  </w:style>
  <w:style w:type="character" w:styleId="Heading5Char">
    <w:name w:val="Heading 5 Char"/>
    <w:basedOn w:val="DefaultParagraphFont"/>
    <w:qFormat/>
    <w:rPr>
      <w:rFonts w:ascii="Liberation Serif" w:hAnsi="Liberation Serif" w:eastAsia="DejaVu Sans" w:cs="DejaVu Sans"/>
      <w:b/>
      <w:sz w:val="28"/>
      <w:szCs w:val="28"/>
    </w:rPr>
  </w:style>
  <w:style w:type="character" w:styleId="Heading6Char">
    <w:name w:val="Heading 6 Char"/>
    <w:basedOn w:val="DefaultParagraphFont"/>
    <w:qFormat/>
    <w:rPr>
      <w:rFonts w:ascii="Liberation Serif" w:hAnsi="Liberation Serif" w:eastAsia="DejaVu Sans" w:cs="DejaVu Sans"/>
      <w:i/>
      <w:iCs/>
      <w:sz w:val="26"/>
      <w:szCs w:val="26"/>
      <w:u w:val="single"/>
    </w:rPr>
  </w:style>
  <w:style w:type="character" w:styleId="Heading7Char">
    <w:name w:val="Heading 7 Char"/>
    <w:basedOn w:val="DefaultParagraphFont"/>
    <w:qFormat/>
    <w:rPr>
      <w:rFonts w:ascii="Liberation Serif" w:hAnsi="Liberation Serif" w:eastAsia="DejaVu Sans" w:cs="DejaVu Sans"/>
      <w:sz w:val="24"/>
      <w:szCs w:val="24"/>
    </w:rPr>
  </w:style>
  <w:style w:type="character" w:styleId="Heading8Char">
    <w:name w:val="Heading 8 Char"/>
    <w:basedOn w:val="DefaultParagraphFont"/>
    <w:qFormat/>
    <w:rPr>
      <w:rFonts w:ascii="Liberation Serif" w:hAnsi="Liberation Serif" w:eastAsia="DejaVu Sans" w:cs="DejaVu Sans"/>
      <w:i/>
      <w:iCs/>
      <w:sz w:val="22"/>
      <w:szCs w:val="22"/>
    </w:rPr>
  </w:style>
  <w:style w:type="character" w:styleId="Heading9Char">
    <w:name w:val="Heading 9 Char"/>
    <w:basedOn w:val="DefaultParagraphFont"/>
    <w:qFormat/>
    <w:rPr>
      <w:b/>
      <w:bCs/>
      <w:i/>
      <w:iCs/>
    </w:rPr>
  </w:style>
  <w:style w:type="character" w:styleId="SubtitleChar">
    <w:name w:val="Subtitle Char"/>
    <w:basedOn w:val="DefaultParagraphFont"/>
    <w:qFormat/>
    <w:rPr>
      <w:color w:val="1485A4"/>
      <w:sz w:val="28"/>
      <w:szCs w:val="28"/>
    </w:rPr>
  </w:style>
  <w:style w:type="character" w:styleId="Strong">
    <w:name w:val="Strong"/>
    <w:basedOn w:val="DefaultParagraphFont"/>
    <w:qFormat/>
    <w:rPr>
      <w:b/>
      <w:bCs/>
    </w:rPr>
  </w:style>
  <w:style w:type="character" w:styleId="QuoteChar">
    <w:name w:val="Quote Char"/>
    <w:basedOn w:val="DefaultParagraphFont"/>
    <w:qFormat/>
    <w:rPr>
      <w:i/>
      <w:iCs/>
      <w:color w:val="1D99A0"/>
      <w:sz w:val="24"/>
      <w:szCs w:val="24"/>
    </w:rPr>
  </w:style>
  <w:style w:type="character" w:styleId="IntenseQuoteChar">
    <w:name w:val="Intense Quote Char"/>
    <w:basedOn w:val="DefaultParagraphFont"/>
    <w:qFormat/>
    <w:rPr>
      <w:rFonts w:ascii="Liberation Serif" w:hAnsi="Liberation Serif" w:eastAsia="DejaVu Sans" w:cs="DejaVu Sans"/>
      <w:caps/>
      <w:color w:val="1481AB"/>
      <w:sz w:val="28"/>
      <w:szCs w:val="28"/>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Normal1"/>
    <w:basedOn w:val="Normal"/>
    <w:qFormat/>
    <w:pPr>
      <w:spacing w:lineRule="auto" w:line="240" w:before="280" w:after="280"/>
    </w:pPr>
    <w:rPr>
      <w:rFonts w:ascii="Times New Roman" w:hAnsi="Times New Roman" w:eastAsia="Times New Roman"/>
      <w:sz w:val="24"/>
      <w:szCs w:val="24"/>
    </w:rPr>
  </w:style>
  <w:style w:type="paragraph" w:styleId="Heading11">
    <w:name w:val="heading1"/>
    <w:basedOn w:val="Normal"/>
    <w:qFormat/>
    <w:pPr>
      <w:spacing w:lineRule="auto" w:line="240" w:before="280" w:after="280"/>
    </w:pPr>
    <w:rPr>
      <w:rFonts w:ascii="Times New Roman" w:hAnsi="Times New Roman" w:eastAsia="Times New Roman"/>
      <w:sz w:val="24"/>
      <w:szCs w:val="24"/>
    </w:rPr>
  </w:style>
  <w:style w:type="paragraph" w:styleId="Normalmediumgrid3accent1brmediumgrid3accent1brmediumgrid3accent1brmediumgrid3accent1brmediumgrid3accent1br">
    <w:name w:val="normal-mediumgrid3-accent1-br-mediumgrid3-accent1-br-mediumgrid3-accent1-br-mediumgrid3-accent1-br-mediumgrid3-accent1-br"/>
    <w:basedOn w:val="Normal"/>
    <w:qFormat/>
    <w:pPr>
      <w:spacing w:lineRule="auto" w:line="240" w:before="280" w:after="280"/>
    </w:pPr>
    <w:rPr>
      <w:rFonts w:ascii="Times New Roman" w:hAnsi="Times New Roman" w:eastAsia="Times New Roman"/>
      <w:sz w:val="24"/>
      <w:szCs w:val="24"/>
    </w:rPr>
  </w:style>
  <w:style w:type="paragraph" w:styleId="Normalweb">
    <w:name w:val="normalweb"/>
    <w:basedOn w:val="Normal"/>
    <w:qFormat/>
    <w:pPr>
      <w:spacing w:lineRule="auto" w:line="240" w:before="280" w:after="280"/>
    </w:pPr>
    <w:rPr>
      <w:rFonts w:ascii="Times New Roman" w:hAnsi="Times New Roman" w:eastAsia="Times New Roman"/>
      <w:sz w:val="24"/>
      <w:szCs w:val="24"/>
    </w:rPr>
  </w:style>
  <w:style w:type="paragraph" w:styleId="Title">
    <w:name w:val="Title"/>
    <w:basedOn w:val="Normal"/>
    <w:next w:val="Normal"/>
    <w:qFormat/>
    <w:pPr>
      <w:pBdr>
        <w:top w:val="single" w:sz="6" w:space="8" w:color="27CED7"/>
        <w:bottom w:val="single" w:sz="6" w:space="8" w:color="27CED7"/>
      </w:pBdr>
      <w:spacing w:lineRule="auto" w:line="240" w:before="0" w:after="400"/>
      <w:contextualSpacing/>
      <w:jc w:val="center"/>
    </w:pPr>
    <w:rPr>
      <w:rFonts w:ascii="Liberation Serif" w:hAnsi="Liberation Serif" w:eastAsia="DejaVu Sans" w:cs="DejaVu Sans"/>
      <w:caps/>
      <w:color w:val="1485A4"/>
      <w:spacing w:val="30"/>
      <w:sz w:val="72"/>
      <w:szCs w:val="72"/>
    </w:rPr>
  </w:style>
  <w:style w:type="paragraph" w:styleId="NoSpacing">
    <w:name w:val="No Spacing"/>
    <w:qFormat/>
    <w:pPr>
      <w:widowControl/>
      <w:suppressAutoHyphens w:val="true"/>
      <w:overflowPunct w:val="false"/>
      <w:bidi w:val="0"/>
      <w:spacing w:lineRule="auto" w:line="240" w:before="0" w:after="0"/>
      <w:jc w:val="left"/>
    </w:pPr>
    <w:rPr>
      <w:rFonts w:ascii="Liberation Serif" w:hAnsi="Liberation Serif" w:eastAsia="DejaVu Sans" w:cs="DejaVu Sans"/>
      <w:color w:val="auto"/>
      <w:kern w:val="0"/>
      <w:sz w:val="21"/>
      <w:szCs w:val="21"/>
      <w:lang w:val="en-US" w:eastAsia="en-US" w:bidi="ar-SA"/>
    </w:rPr>
  </w:style>
  <w:style w:type="paragraph" w:styleId="HeaderandFooter">
    <w:name w:val="Header and Footer"/>
    <w:basedOn w:val="Normal"/>
    <w:qFormat/>
    <w:pPr/>
    <w:rPr/>
  </w:style>
  <w:style w:type="paragraph" w:styleId="Header">
    <w:name w:val="Header"/>
    <w:basedOn w:val="Normal"/>
    <w:pPr>
      <w:tabs>
        <w:tab w:val="clear" w:pos="709"/>
        <w:tab w:val="center" w:pos="4680" w:leader="none"/>
        <w:tab w:val="right" w:pos="9360" w:leader="none"/>
      </w:tabs>
      <w:spacing w:lineRule="auto" w:line="240" w:before="0" w:after="0"/>
    </w:pPr>
    <w:rPr/>
  </w:style>
  <w:style w:type="paragraph" w:styleId="Footer">
    <w:name w:val="Footer"/>
    <w:basedOn w:val="Normal"/>
    <w:pPr>
      <w:tabs>
        <w:tab w:val="clear" w:pos="709"/>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pPr>
    <w:rPr>
      <w:b/>
      <w:bCs/>
      <w:color w:val="404040"/>
      <w:sz w:val="16"/>
      <w:szCs w:val="16"/>
    </w:rPr>
  </w:style>
  <w:style w:type="paragraph" w:styleId="Subtitle">
    <w:name w:val="Subtitle"/>
    <w:basedOn w:val="Normal"/>
    <w:next w:val="Normal"/>
    <w:qFormat/>
    <w:pPr>
      <w:jc w:val="center"/>
    </w:pPr>
    <w:rPr>
      <w:color w:val="1485A4"/>
      <w:sz w:val="28"/>
      <w:szCs w:val="28"/>
    </w:rPr>
  </w:style>
  <w:style w:type="paragraph" w:styleId="Quote">
    <w:name w:val="Quote"/>
    <w:basedOn w:val="Normal"/>
    <w:next w:val="Normal"/>
    <w:qFormat/>
    <w:pPr>
      <w:spacing w:before="160" w:after="160"/>
      <w:ind w:left="720" w:right="720" w:hanging="0"/>
      <w:jc w:val="center"/>
    </w:pPr>
    <w:rPr>
      <w:i/>
      <w:iCs/>
      <w:color w:val="1D99A0"/>
      <w:sz w:val="24"/>
      <w:szCs w:val="24"/>
    </w:rPr>
  </w:style>
  <w:style w:type="paragraph" w:styleId="IntenseQuote">
    <w:name w:val="Intense Quote"/>
    <w:basedOn w:val="Normal"/>
    <w:next w:val="Normal"/>
    <w:qFormat/>
    <w:pPr>
      <w:spacing w:lineRule="auto" w:line="276" w:before="160" w:after="160"/>
      <w:ind w:left="936" w:right="936" w:hanging="0"/>
      <w:jc w:val="center"/>
    </w:pPr>
    <w:rPr>
      <w:rFonts w:ascii="Liberation Serif" w:hAnsi="Liberation Serif" w:eastAsia="DejaVu Sans" w:cs="DejaVu Sans"/>
      <w:caps/>
      <w:color w:val="1481AB"/>
      <w:sz w:val="28"/>
      <w:szCs w:val="28"/>
    </w:rPr>
  </w:style>
  <w:style w:type="paragraph" w:styleId="TOCHeading">
    <w:name w:val="TOC Heading"/>
    <w:basedOn w:val="Heading1"/>
    <w:next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LibreOffice/6.4.7.2$Linux_X86_64 LibreOffice_project/40$Build-2</Application>
  <Pages>11</Pages>
  <Words>1419</Words>
  <Characters>8020</Characters>
  <CharactersWithSpaces>9127</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2022-11-11T05:19:16Z</dcterms:modified>
  <cp:revision>10</cp:revision>
  <dc:subject/>
  <dc:title/>
</cp:coreProperties>
</file>