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F77A7" w14:textId="7D2C4AEB" w:rsidR="005679CB" w:rsidRPr="00D32F89" w:rsidRDefault="00631592" w:rsidP="00CE46BE">
      <w:pPr>
        <w:jc w:val="both"/>
        <w:rPr>
          <w:rFonts w:ascii="Arial" w:hAnsi="Arial" w:cs="Arial"/>
          <w:lang w:val="en-US"/>
        </w:rPr>
      </w:pPr>
      <w:r w:rsidRPr="00D32F89">
        <w:rPr>
          <w:rFonts w:ascii="Arial" w:hAnsi="Arial" w:cs="Arial"/>
          <w:lang w:val="en-US"/>
        </w:rPr>
        <w:t>Captions.</w:t>
      </w:r>
    </w:p>
    <w:p w14:paraId="72E56B2F" w14:textId="0EFD8C26" w:rsidR="00631592" w:rsidRDefault="00631592" w:rsidP="00CE46BE">
      <w:pPr>
        <w:jc w:val="both"/>
        <w:rPr>
          <w:rFonts w:ascii="Arial" w:hAnsi="Arial" w:cs="Arial"/>
          <w:lang w:val="en-US"/>
        </w:rPr>
      </w:pPr>
      <w:bookmarkStart w:id="0" w:name="_Hlk208333835"/>
      <w:r w:rsidRPr="00631592">
        <w:rPr>
          <w:rFonts w:ascii="Arial" w:hAnsi="Arial" w:cs="Arial"/>
          <w:b/>
          <w:bCs/>
          <w:lang w:val="en-US"/>
        </w:rPr>
        <w:t>Figure 1. Diagnosis of the initial knowledge, attendance, and perception of students in the Biochemistry course.</w:t>
      </w:r>
      <w:r w:rsidRPr="00631592">
        <w:rPr>
          <w:rFonts w:ascii="Arial" w:hAnsi="Arial" w:cs="Arial"/>
          <w:lang w:val="en-US"/>
        </w:rPr>
        <w:t xml:space="preserve"> The data in all three panels reflects the baseline state of the student body before the implementation of the </w:t>
      </w:r>
      <w:proofErr w:type="spellStart"/>
      <w:r w:rsidRPr="00631592">
        <w:rPr>
          <w:rFonts w:ascii="Arial" w:hAnsi="Arial" w:cs="Arial"/>
          <w:lang w:val="en-US"/>
        </w:rPr>
        <w:t>DEAba</w:t>
      </w:r>
      <w:proofErr w:type="spellEnd"/>
      <w:r w:rsidRPr="00631592">
        <w:rPr>
          <w:rFonts w:ascii="Arial" w:hAnsi="Arial" w:cs="Arial"/>
          <w:lang w:val="en-US"/>
        </w:rPr>
        <w:t xml:space="preserve"> methodology, serving as a comprehensive diagnosis of the pre-existing problems of knowledge, attendance, and perception.</w:t>
      </w:r>
      <w:r w:rsidRPr="00CE46BE">
        <w:rPr>
          <w:rFonts w:ascii="Arial" w:hAnsi="Arial" w:cs="Arial"/>
          <w:lang w:val="en-US"/>
        </w:rPr>
        <w:t xml:space="preserve"> </w:t>
      </w:r>
      <w:r w:rsidRPr="00631592">
        <w:rPr>
          <w:rFonts w:ascii="Arial" w:hAnsi="Arial" w:cs="Arial"/>
          <w:b/>
          <w:bCs/>
          <w:lang w:val="en-US"/>
        </w:rPr>
        <w:t>A.</w:t>
      </w:r>
      <w:r w:rsidRPr="00631592">
        <w:rPr>
          <w:rFonts w:ascii="Arial" w:hAnsi="Arial" w:cs="Arial"/>
          <w:lang w:val="en-US"/>
        </w:rPr>
        <w:t xml:space="preserve"> Distribution of student scores on a pre-course diagnostic test (0-10 scale), administered on the first day of the second semester. Scores are broken down by content from the first semester (salmon), the second semester (olive green), and a global score (blue). </w:t>
      </w:r>
      <w:r w:rsidRPr="00631592">
        <w:rPr>
          <w:rFonts w:ascii="Arial" w:hAnsi="Arial" w:cs="Arial"/>
          <w:b/>
          <w:bCs/>
          <w:lang w:val="en-US"/>
        </w:rPr>
        <w:t>B.</w:t>
      </w:r>
      <w:r w:rsidRPr="00631592">
        <w:rPr>
          <w:rFonts w:ascii="Arial" w:hAnsi="Arial" w:cs="Arial"/>
          <w:lang w:val="en-US"/>
        </w:rPr>
        <w:t xml:space="preserve"> Percentage of students who attended the first-day introductory lecture of the second semester, serving as an indicator of overall course attendance and initial engagement. </w:t>
      </w:r>
      <w:r w:rsidRPr="00631592">
        <w:rPr>
          <w:rFonts w:ascii="Arial" w:hAnsi="Arial" w:cs="Arial"/>
          <w:b/>
          <w:bCs/>
          <w:lang w:val="en-US"/>
        </w:rPr>
        <w:t>C.</w:t>
      </w:r>
      <w:r w:rsidRPr="00631592">
        <w:rPr>
          <w:rFonts w:ascii="Arial" w:hAnsi="Arial" w:cs="Arial"/>
          <w:lang w:val="en-US"/>
        </w:rPr>
        <w:t xml:space="preserve"> Distribution of student responses (1-10 scale) to an initial perception survey about the course, evaluated on the same day. Each box represents a different item from the questionnaire (Q1 to Q18).</w:t>
      </w:r>
    </w:p>
    <w:p w14:paraId="5B6A5108" w14:textId="5B4BE69E" w:rsidR="00FF5D48" w:rsidRPr="00FF5D48" w:rsidRDefault="00FF5D48" w:rsidP="00FF5D48">
      <w:pPr>
        <w:tabs>
          <w:tab w:val="num" w:pos="720"/>
        </w:tabs>
        <w:jc w:val="both"/>
        <w:rPr>
          <w:rFonts w:ascii="Arial" w:hAnsi="Arial" w:cs="Arial"/>
          <w:lang w:val="en-US"/>
        </w:rPr>
      </w:pPr>
      <w:bookmarkStart w:id="1" w:name="_Hlk208333870"/>
      <w:bookmarkEnd w:id="0"/>
      <w:r w:rsidRPr="00FF5D48">
        <w:rPr>
          <w:rFonts w:ascii="Arial" w:hAnsi="Arial" w:cs="Arial"/>
          <w:b/>
          <w:bCs/>
          <w:lang w:val="en-US"/>
        </w:rPr>
        <w:t xml:space="preserve">Figure 2. Frequency and </w:t>
      </w:r>
      <w:r>
        <w:rPr>
          <w:rFonts w:ascii="Arial" w:hAnsi="Arial" w:cs="Arial"/>
          <w:b/>
          <w:bCs/>
          <w:lang w:val="en-US"/>
        </w:rPr>
        <w:t>s</w:t>
      </w:r>
      <w:r w:rsidRPr="00FF5D48">
        <w:rPr>
          <w:rFonts w:ascii="Arial" w:hAnsi="Arial" w:cs="Arial"/>
          <w:b/>
          <w:bCs/>
          <w:lang w:val="en-US"/>
        </w:rPr>
        <w:t xml:space="preserve">pecific </w:t>
      </w:r>
      <w:r>
        <w:rPr>
          <w:rFonts w:ascii="Arial" w:hAnsi="Arial" w:cs="Arial"/>
          <w:b/>
          <w:bCs/>
          <w:lang w:val="en-US"/>
        </w:rPr>
        <w:t>t</w:t>
      </w:r>
      <w:r w:rsidRPr="00FF5D48">
        <w:rPr>
          <w:rFonts w:ascii="Arial" w:hAnsi="Arial" w:cs="Arial"/>
          <w:b/>
          <w:bCs/>
          <w:lang w:val="en-US"/>
        </w:rPr>
        <w:t xml:space="preserve">opic </w:t>
      </w:r>
      <w:r>
        <w:rPr>
          <w:rFonts w:ascii="Arial" w:hAnsi="Arial" w:cs="Arial"/>
          <w:b/>
          <w:bCs/>
          <w:lang w:val="en-US"/>
        </w:rPr>
        <w:t>p</w:t>
      </w:r>
      <w:r w:rsidRPr="00FF5D48">
        <w:rPr>
          <w:rFonts w:ascii="Arial" w:hAnsi="Arial" w:cs="Arial"/>
          <w:b/>
          <w:bCs/>
          <w:lang w:val="en-US"/>
        </w:rPr>
        <w:t xml:space="preserve">references in </w:t>
      </w:r>
      <w:r>
        <w:rPr>
          <w:rFonts w:ascii="Arial" w:hAnsi="Arial" w:cs="Arial"/>
          <w:b/>
          <w:bCs/>
          <w:lang w:val="en-US"/>
        </w:rPr>
        <w:t>u</w:t>
      </w:r>
      <w:r w:rsidRPr="00FF5D48">
        <w:rPr>
          <w:rFonts w:ascii="Arial" w:hAnsi="Arial" w:cs="Arial"/>
          <w:b/>
          <w:bCs/>
          <w:lang w:val="en-US"/>
        </w:rPr>
        <w:t xml:space="preserve">niversity </w:t>
      </w:r>
      <w:r>
        <w:rPr>
          <w:rFonts w:ascii="Arial" w:hAnsi="Arial" w:cs="Arial"/>
          <w:b/>
          <w:bCs/>
          <w:lang w:val="en-US"/>
        </w:rPr>
        <w:t>e</w:t>
      </w:r>
      <w:r w:rsidRPr="00FF5D48">
        <w:rPr>
          <w:rFonts w:ascii="Arial" w:hAnsi="Arial" w:cs="Arial"/>
          <w:b/>
          <w:bCs/>
          <w:lang w:val="en-US"/>
        </w:rPr>
        <w:t xml:space="preserve">ntrance </w:t>
      </w:r>
      <w:r>
        <w:rPr>
          <w:rFonts w:ascii="Arial" w:hAnsi="Arial" w:cs="Arial"/>
          <w:b/>
          <w:bCs/>
          <w:lang w:val="en-US"/>
        </w:rPr>
        <w:t>e</w:t>
      </w:r>
      <w:r w:rsidRPr="00FF5D48">
        <w:rPr>
          <w:rFonts w:ascii="Arial" w:hAnsi="Arial" w:cs="Arial"/>
          <w:b/>
          <w:bCs/>
          <w:lang w:val="en-US"/>
        </w:rPr>
        <w:t>xams.</w:t>
      </w:r>
      <w:r>
        <w:rPr>
          <w:rFonts w:ascii="Arial" w:hAnsi="Arial" w:cs="Arial"/>
          <w:b/>
          <w:bCs/>
          <w:lang w:val="en-US"/>
        </w:rPr>
        <w:t xml:space="preserve"> </w:t>
      </w:r>
      <w:r w:rsidRPr="00FF5D48">
        <w:rPr>
          <w:rFonts w:ascii="Arial" w:hAnsi="Arial" w:cs="Arial"/>
          <w:lang w:val="en-US"/>
        </w:rPr>
        <w:t>This composite figure, with two panels, illustrates the representation and distribution of metabolism content on the EBAU over 24 years.</w:t>
      </w:r>
      <w:r>
        <w:rPr>
          <w:rFonts w:ascii="Arial" w:hAnsi="Arial" w:cs="Arial"/>
          <w:b/>
          <w:bCs/>
          <w:lang w:val="en-US"/>
        </w:rPr>
        <w:t xml:space="preserve"> </w:t>
      </w:r>
      <w:r w:rsidRPr="00FF5D48">
        <w:rPr>
          <w:rFonts w:ascii="Arial" w:hAnsi="Arial" w:cs="Arial"/>
          <w:b/>
          <w:bCs/>
          <w:lang w:val="en-US"/>
        </w:rPr>
        <w:t>A</w:t>
      </w:r>
      <w:r>
        <w:rPr>
          <w:rFonts w:ascii="Arial" w:hAnsi="Arial" w:cs="Arial"/>
          <w:b/>
          <w:bCs/>
          <w:lang w:val="en-US"/>
        </w:rPr>
        <w:t>)</w:t>
      </w:r>
      <w:r w:rsidRPr="00FF5D48">
        <w:rPr>
          <w:rFonts w:ascii="Arial" w:hAnsi="Arial" w:cs="Arial"/>
          <w:lang w:val="en-US"/>
        </w:rPr>
        <w:t xml:space="preserve"> This line chart shows the total number of exams (out of a maximum of four per year) that included at least one question related to metabolism. The red regression line indicates no statistically significant temporal trend, suggesting that the low frequency of these questions is a consistent feature of the exam.</w:t>
      </w:r>
      <w:r>
        <w:rPr>
          <w:rFonts w:ascii="Arial" w:hAnsi="Arial" w:cs="Arial"/>
          <w:lang w:val="en-US"/>
        </w:rPr>
        <w:t xml:space="preserve"> </w:t>
      </w:r>
      <w:r w:rsidRPr="00FF5D48">
        <w:rPr>
          <w:rFonts w:ascii="Arial" w:hAnsi="Arial" w:cs="Arial"/>
          <w:b/>
          <w:bCs/>
          <w:lang w:val="en-US"/>
        </w:rPr>
        <w:t>B)</w:t>
      </w:r>
      <w:r w:rsidRPr="00FF5D48">
        <w:rPr>
          <w:rFonts w:ascii="Arial" w:hAnsi="Arial" w:cs="Arial"/>
          <w:lang w:val="en-US"/>
        </w:rPr>
        <w:t xml:space="preserve"> This bar chart displays the total number of times each specific metabolism topic was asked. The results show a clear and statistically significant preference for certain topics, such as "Definition of metabolism..." and "Fermentation...", while others are rarely or never included.</w:t>
      </w:r>
    </w:p>
    <w:p w14:paraId="38F1BBEF" w14:textId="43E467DA" w:rsidR="00FF5D48" w:rsidRDefault="00FF5D48" w:rsidP="00FF5D48">
      <w:pPr>
        <w:jc w:val="both"/>
        <w:rPr>
          <w:rFonts w:ascii="Arial" w:hAnsi="Arial" w:cs="Arial"/>
          <w:lang w:val="en-US"/>
        </w:rPr>
      </w:pPr>
      <w:bookmarkStart w:id="2" w:name="_Hlk208333909"/>
      <w:bookmarkEnd w:id="1"/>
      <w:r w:rsidRPr="00FF5D48">
        <w:rPr>
          <w:rFonts w:ascii="Arial" w:hAnsi="Arial" w:cs="Arial"/>
          <w:b/>
          <w:bCs/>
          <w:lang w:val="en-US"/>
        </w:rPr>
        <w:t xml:space="preserve">Figure 3. Evolution of </w:t>
      </w:r>
      <w:r>
        <w:rPr>
          <w:rFonts w:ascii="Arial" w:hAnsi="Arial" w:cs="Arial"/>
          <w:b/>
          <w:bCs/>
          <w:lang w:val="en-US"/>
        </w:rPr>
        <w:t>q</w:t>
      </w:r>
      <w:r w:rsidRPr="00FF5D48">
        <w:rPr>
          <w:rFonts w:ascii="Arial" w:hAnsi="Arial" w:cs="Arial"/>
          <w:b/>
          <w:bCs/>
          <w:lang w:val="en-US"/>
        </w:rPr>
        <w:t xml:space="preserve">uestion </w:t>
      </w:r>
      <w:r>
        <w:rPr>
          <w:rFonts w:ascii="Arial" w:hAnsi="Arial" w:cs="Arial"/>
          <w:b/>
          <w:bCs/>
          <w:lang w:val="en-US"/>
        </w:rPr>
        <w:t>c</w:t>
      </w:r>
      <w:r w:rsidRPr="00FF5D48">
        <w:rPr>
          <w:rFonts w:ascii="Arial" w:hAnsi="Arial" w:cs="Arial"/>
          <w:b/>
          <w:bCs/>
          <w:lang w:val="en-US"/>
        </w:rPr>
        <w:t>omplexity.</w:t>
      </w:r>
      <w:r>
        <w:rPr>
          <w:rFonts w:ascii="Arial" w:hAnsi="Arial" w:cs="Arial"/>
          <w:b/>
          <w:bCs/>
          <w:lang w:val="en-US"/>
        </w:rPr>
        <w:t xml:space="preserve"> </w:t>
      </w:r>
      <w:r w:rsidRPr="00FF5D48">
        <w:rPr>
          <w:rFonts w:ascii="Arial" w:hAnsi="Arial" w:cs="Arial"/>
          <w:lang w:val="en-US"/>
        </w:rPr>
        <w:t>This figure shows the proportion of the three most-asked topics relative to the total number of metabolism questions per year. The orange line indicates the annual proportion, while the red regression line demonstrates a statistically significant upward trend. This finding confirms that the questions on metabolism have become progressively more focused on the most basic and fundamental concepts over time.</w:t>
      </w:r>
    </w:p>
    <w:p w14:paraId="3BB1980C" w14:textId="186B0532" w:rsidR="001A42E4" w:rsidRDefault="001A42E4" w:rsidP="001A42E4">
      <w:pPr>
        <w:jc w:val="both"/>
        <w:rPr>
          <w:rFonts w:ascii="Arial" w:hAnsi="Arial" w:cs="Arial"/>
          <w:lang w:val="en-US"/>
        </w:rPr>
      </w:pPr>
      <w:bookmarkStart w:id="3" w:name="_Hlk208333952"/>
      <w:bookmarkEnd w:id="2"/>
      <w:r w:rsidRPr="001A42E4">
        <w:rPr>
          <w:rFonts w:ascii="Arial" w:hAnsi="Arial" w:cs="Arial"/>
          <w:b/>
          <w:bCs/>
          <w:lang w:val="en-US"/>
        </w:rPr>
        <w:t>Figure 4</w:t>
      </w:r>
      <w:r>
        <w:rPr>
          <w:rFonts w:ascii="Arial" w:hAnsi="Arial" w:cs="Arial"/>
          <w:b/>
          <w:bCs/>
          <w:lang w:val="en-US"/>
        </w:rPr>
        <w:t>.</w:t>
      </w:r>
      <w:r w:rsidRPr="001A42E4">
        <w:rPr>
          <w:rFonts w:ascii="Arial" w:hAnsi="Arial" w:cs="Arial"/>
          <w:b/>
          <w:bCs/>
          <w:lang w:val="en-US"/>
        </w:rPr>
        <w:t xml:space="preserve"> Impact of the </w:t>
      </w:r>
      <w:proofErr w:type="spellStart"/>
      <w:r w:rsidRPr="001A42E4">
        <w:rPr>
          <w:rFonts w:ascii="Arial" w:hAnsi="Arial" w:cs="Arial"/>
          <w:b/>
          <w:bCs/>
          <w:lang w:val="en-US"/>
        </w:rPr>
        <w:t>DEAba</w:t>
      </w:r>
      <w:proofErr w:type="spellEnd"/>
      <w:r w:rsidRPr="001A42E4">
        <w:rPr>
          <w:rFonts w:ascii="Arial" w:hAnsi="Arial" w:cs="Arial"/>
          <w:b/>
          <w:bCs/>
          <w:lang w:val="en-US"/>
        </w:rPr>
        <w:t xml:space="preserve"> </w:t>
      </w:r>
      <w:r>
        <w:rPr>
          <w:rFonts w:ascii="Arial" w:hAnsi="Arial" w:cs="Arial"/>
          <w:b/>
          <w:bCs/>
          <w:lang w:val="en-US"/>
        </w:rPr>
        <w:t>m</w:t>
      </w:r>
      <w:r w:rsidRPr="001A42E4">
        <w:rPr>
          <w:rFonts w:ascii="Arial" w:hAnsi="Arial" w:cs="Arial"/>
          <w:b/>
          <w:bCs/>
          <w:lang w:val="en-US"/>
        </w:rPr>
        <w:t xml:space="preserve">ethodology on </w:t>
      </w:r>
      <w:r>
        <w:rPr>
          <w:rFonts w:ascii="Arial" w:hAnsi="Arial" w:cs="Arial"/>
          <w:b/>
          <w:bCs/>
          <w:lang w:val="en-US"/>
        </w:rPr>
        <w:t>s</w:t>
      </w:r>
      <w:r w:rsidRPr="001A42E4">
        <w:rPr>
          <w:rFonts w:ascii="Arial" w:hAnsi="Arial" w:cs="Arial"/>
          <w:b/>
          <w:bCs/>
          <w:lang w:val="en-US"/>
        </w:rPr>
        <w:t xml:space="preserve">tudent </w:t>
      </w:r>
      <w:r>
        <w:rPr>
          <w:rFonts w:ascii="Arial" w:hAnsi="Arial" w:cs="Arial"/>
          <w:b/>
          <w:bCs/>
          <w:lang w:val="en-US"/>
        </w:rPr>
        <w:t>p</w:t>
      </w:r>
      <w:r w:rsidRPr="001A42E4">
        <w:rPr>
          <w:rFonts w:ascii="Arial" w:hAnsi="Arial" w:cs="Arial"/>
          <w:b/>
          <w:bCs/>
          <w:lang w:val="en-US"/>
        </w:rPr>
        <w:t>erformance</w:t>
      </w:r>
      <w:r>
        <w:rPr>
          <w:rFonts w:ascii="Arial" w:hAnsi="Arial" w:cs="Arial"/>
          <w:b/>
          <w:bCs/>
          <w:lang w:val="en-US"/>
        </w:rPr>
        <w:t xml:space="preserve">. </w:t>
      </w:r>
      <w:r w:rsidRPr="001A42E4">
        <w:rPr>
          <w:rFonts w:ascii="Arial" w:hAnsi="Arial" w:cs="Arial"/>
          <w:b/>
          <w:bCs/>
          <w:lang w:val="en-US"/>
        </w:rPr>
        <w:t>A</w:t>
      </w:r>
      <w:r>
        <w:rPr>
          <w:rFonts w:ascii="Arial" w:hAnsi="Arial" w:cs="Arial"/>
          <w:b/>
          <w:bCs/>
          <w:lang w:val="en-US"/>
        </w:rPr>
        <w:t>)</w:t>
      </w:r>
      <w:r w:rsidRPr="001A42E4">
        <w:rPr>
          <w:rFonts w:ascii="Arial" w:hAnsi="Arial" w:cs="Arial"/>
          <w:lang w:val="en-US"/>
        </w:rPr>
        <w:t xml:space="preserve"> Changes in student performance over five academic years. The orange bar represents the percentage of students who passed among all enrolled, the salmon bar shows the percentage of students who passed among those who took the exam, and the pink bar indicates the exam submission rate. Note the significant drop in submission and overall pass rates in the 2020/2021 and 2021/2022 academic years, which was reversed following the implementation of the </w:t>
      </w:r>
      <w:proofErr w:type="spellStart"/>
      <w:r w:rsidRPr="001A42E4">
        <w:rPr>
          <w:rFonts w:ascii="Arial" w:hAnsi="Arial" w:cs="Arial"/>
          <w:lang w:val="en-US"/>
        </w:rPr>
        <w:t>DEAba</w:t>
      </w:r>
      <w:proofErr w:type="spellEnd"/>
      <w:r w:rsidRPr="001A42E4">
        <w:rPr>
          <w:rFonts w:ascii="Arial" w:hAnsi="Arial" w:cs="Arial"/>
          <w:lang w:val="en-US"/>
        </w:rPr>
        <w:t xml:space="preserve"> methodology in 2022/2023. </w:t>
      </w:r>
      <w:r w:rsidRPr="001A42E4">
        <w:rPr>
          <w:rFonts w:ascii="Arial" w:hAnsi="Arial" w:cs="Arial"/>
          <w:b/>
          <w:bCs/>
          <w:lang w:val="en-US"/>
        </w:rPr>
        <w:t>B</w:t>
      </w:r>
      <w:r>
        <w:rPr>
          <w:rFonts w:ascii="Arial" w:hAnsi="Arial" w:cs="Arial"/>
          <w:b/>
          <w:bCs/>
          <w:lang w:val="en-US"/>
        </w:rPr>
        <w:t>)</w:t>
      </w:r>
      <w:r w:rsidRPr="001A42E4">
        <w:rPr>
          <w:rFonts w:ascii="Arial" w:hAnsi="Arial" w:cs="Arial"/>
          <w:lang w:val="en-US"/>
        </w:rPr>
        <w:t xml:space="preserve"> Boxplots of final grades across five academic years. The central black line in each box represents the median grade. Note the increase in the median grade and the reduced dispersion in the years following the implementation of the </w:t>
      </w:r>
      <w:proofErr w:type="spellStart"/>
      <w:r w:rsidRPr="001A42E4">
        <w:rPr>
          <w:rFonts w:ascii="Arial" w:hAnsi="Arial" w:cs="Arial"/>
          <w:lang w:val="en-US"/>
        </w:rPr>
        <w:t>DEAba</w:t>
      </w:r>
      <w:proofErr w:type="spellEnd"/>
      <w:r w:rsidRPr="001A42E4">
        <w:rPr>
          <w:rFonts w:ascii="Arial" w:hAnsi="Arial" w:cs="Arial"/>
          <w:lang w:val="en-US"/>
        </w:rPr>
        <w:t xml:space="preserve"> methodology. </w:t>
      </w:r>
      <w:r w:rsidRPr="001A42E4">
        <w:rPr>
          <w:rFonts w:ascii="Arial" w:hAnsi="Arial" w:cs="Arial"/>
          <w:b/>
          <w:bCs/>
          <w:lang w:val="en-US"/>
        </w:rPr>
        <w:t>C</w:t>
      </w:r>
      <w:r>
        <w:rPr>
          <w:rFonts w:ascii="Arial" w:hAnsi="Arial" w:cs="Arial"/>
          <w:b/>
          <w:bCs/>
          <w:lang w:val="en-US"/>
        </w:rPr>
        <w:t>)</w:t>
      </w:r>
      <w:r w:rsidRPr="001A42E4">
        <w:rPr>
          <w:rFonts w:ascii="Arial" w:hAnsi="Arial" w:cs="Arial"/>
          <w:lang w:val="en-US"/>
        </w:rPr>
        <w:t xml:space="preserve"> Distribution of student grades by academic year. The graph illustrates the percentage of students in each performance category (Fail, Pass, Good, Excellent, and Outstanding). Note the significant decrease in the "Fail" category after the </w:t>
      </w:r>
      <w:proofErr w:type="spellStart"/>
      <w:r w:rsidRPr="001A42E4">
        <w:rPr>
          <w:rFonts w:ascii="Arial" w:hAnsi="Arial" w:cs="Arial"/>
          <w:lang w:val="en-US"/>
        </w:rPr>
        <w:t>DEAba</w:t>
      </w:r>
      <w:proofErr w:type="spellEnd"/>
      <w:r w:rsidRPr="001A42E4">
        <w:rPr>
          <w:rFonts w:ascii="Arial" w:hAnsi="Arial" w:cs="Arial"/>
          <w:lang w:val="en-US"/>
        </w:rPr>
        <w:t xml:space="preserve"> methodology was introduced.</w:t>
      </w:r>
    </w:p>
    <w:p w14:paraId="042C0B26" w14:textId="0564E942" w:rsidR="000D4B31" w:rsidRDefault="000D4B31" w:rsidP="000D4B31">
      <w:pPr>
        <w:jc w:val="both"/>
        <w:rPr>
          <w:rFonts w:ascii="Arial" w:hAnsi="Arial" w:cs="Arial"/>
          <w:lang w:val="en-US"/>
        </w:rPr>
      </w:pPr>
      <w:bookmarkStart w:id="4" w:name="_Hlk208333995"/>
      <w:bookmarkEnd w:id="3"/>
      <w:r w:rsidRPr="000D4B31">
        <w:rPr>
          <w:rFonts w:ascii="Arial" w:hAnsi="Arial" w:cs="Arial"/>
          <w:b/>
          <w:bCs/>
          <w:lang w:val="en-US"/>
        </w:rPr>
        <w:t>Figure 5</w:t>
      </w:r>
      <w:r>
        <w:rPr>
          <w:rFonts w:ascii="Arial" w:hAnsi="Arial" w:cs="Arial"/>
          <w:b/>
          <w:bCs/>
          <w:lang w:val="en-US"/>
        </w:rPr>
        <w:t xml:space="preserve">. </w:t>
      </w:r>
      <w:r w:rsidRPr="000D4B31">
        <w:rPr>
          <w:rFonts w:ascii="Arial" w:hAnsi="Arial" w:cs="Arial"/>
          <w:b/>
          <w:bCs/>
          <w:lang w:val="en-US"/>
        </w:rPr>
        <w:t xml:space="preserve">Overall </w:t>
      </w:r>
      <w:r>
        <w:rPr>
          <w:rFonts w:ascii="Arial" w:hAnsi="Arial" w:cs="Arial"/>
          <w:b/>
          <w:bCs/>
          <w:lang w:val="en-US"/>
        </w:rPr>
        <w:t>p</w:t>
      </w:r>
      <w:r w:rsidRPr="000D4B31">
        <w:rPr>
          <w:rFonts w:ascii="Arial" w:hAnsi="Arial" w:cs="Arial"/>
          <w:b/>
          <w:bCs/>
          <w:lang w:val="en-US"/>
        </w:rPr>
        <w:t xml:space="preserve">erception of the </w:t>
      </w:r>
      <w:proofErr w:type="spellStart"/>
      <w:r w:rsidRPr="000D4B31">
        <w:rPr>
          <w:rFonts w:ascii="Arial" w:hAnsi="Arial" w:cs="Arial"/>
          <w:b/>
          <w:bCs/>
          <w:lang w:val="en-US"/>
        </w:rPr>
        <w:t>DEAba</w:t>
      </w:r>
      <w:proofErr w:type="spellEnd"/>
      <w:r w:rsidRPr="000D4B31">
        <w:rPr>
          <w:rFonts w:ascii="Arial" w:hAnsi="Arial" w:cs="Arial"/>
          <w:b/>
          <w:bCs/>
          <w:lang w:val="en-US"/>
        </w:rPr>
        <w:t xml:space="preserve"> </w:t>
      </w:r>
      <w:r>
        <w:rPr>
          <w:rFonts w:ascii="Arial" w:hAnsi="Arial" w:cs="Arial"/>
          <w:b/>
          <w:bCs/>
          <w:lang w:val="en-US"/>
        </w:rPr>
        <w:t>m</w:t>
      </w:r>
      <w:r w:rsidRPr="000D4B31">
        <w:rPr>
          <w:rFonts w:ascii="Arial" w:hAnsi="Arial" w:cs="Arial"/>
          <w:b/>
          <w:bCs/>
          <w:lang w:val="en-US"/>
        </w:rPr>
        <w:t>ethodology</w:t>
      </w:r>
      <w:r>
        <w:rPr>
          <w:rFonts w:ascii="Arial" w:hAnsi="Arial" w:cs="Arial"/>
          <w:b/>
          <w:bCs/>
          <w:lang w:val="en-US"/>
        </w:rPr>
        <w:t xml:space="preserve">. </w:t>
      </w:r>
      <w:r w:rsidRPr="000D4B31">
        <w:rPr>
          <w:rFonts w:ascii="Arial" w:hAnsi="Arial" w:cs="Arial"/>
          <w:lang w:val="en-US"/>
        </w:rPr>
        <w:t xml:space="preserve">Boxplots showing the students' overall responses to the </w:t>
      </w:r>
      <w:proofErr w:type="spellStart"/>
      <w:r w:rsidRPr="000D4B31">
        <w:rPr>
          <w:rFonts w:ascii="Arial" w:hAnsi="Arial" w:cs="Arial"/>
          <w:lang w:val="en-US"/>
        </w:rPr>
        <w:t>DEAba</w:t>
      </w:r>
      <w:proofErr w:type="spellEnd"/>
      <w:r w:rsidRPr="000D4B31">
        <w:rPr>
          <w:rFonts w:ascii="Arial" w:hAnsi="Arial" w:cs="Arial"/>
          <w:lang w:val="en-US"/>
        </w:rPr>
        <w:t xml:space="preserve"> perception survey over the three years of implementation. The horizontal black line in each box represents the median. Questions were rated on a scale of 1 to 10. Note the high ratings for questions Q1 (interesting), Q4 (useful), and Q5 (helps with theory), and the low ratings for Q2 (would prefer analysis and exposition) and Q3 (would prefer not to have done the activity).</w:t>
      </w:r>
    </w:p>
    <w:p w14:paraId="13CBE8FF" w14:textId="53BA7B1B" w:rsidR="00631592" w:rsidRPr="00CE46BE" w:rsidRDefault="00D32F89" w:rsidP="00CE46BE">
      <w:pPr>
        <w:jc w:val="both"/>
        <w:rPr>
          <w:rFonts w:ascii="Arial" w:hAnsi="Arial" w:cs="Arial"/>
          <w:lang w:val="en-US"/>
        </w:rPr>
      </w:pPr>
      <w:bookmarkStart w:id="5" w:name="_Hlk208334039"/>
      <w:bookmarkEnd w:id="4"/>
      <w:r w:rsidRPr="00D32F89">
        <w:rPr>
          <w:rFonts w:ascii="Arial" w:hAnsi="Arial" w:cs="Arial"/>
          <w:b/>
          <w:bCs/>
          <w:lang w:val="en-US"/>
        </w:rPr>
        <w:lastRenderedPageBreak/>
        <w:t>Figure 6</w:t>
      </w:r>
      <w:r>
        <w:rPr>
          <w:rFonts w:ascii="Arial" w:hAnsi="Arial" w:cs="Arial"/>
          <w:b/>
          <w:bCs/>
          <w:lang w:val="en-US"/>
        </w:rPr>
        <w:t>.</w:t>
      </w:r>
      <w:r w:rsidRPr="00D32F89">
        <w:rPr>
          <w:rFonts w:ascii="Arial" w:hAnsi="Arial" w:cs="Arial"/>
          <w:b/>
          <w:bCs/>
          <w:lang w:val="en-US"/>
        </w:rPr>
        <w:t xml:space="preserve"> Evolution of student knowledge, academic performance, and entrance scores.</w:t>
      </w:r>
      <w:r>
        <w:rPr>
          <w:rFonts w:ascii="Arial" w:hAnsi="Arial" w:cs="Arial"/>
          <w:b/>
          <w:bCs/>
          <w:lang w:val="en-US"/>
        </w:rPr>
        <w:t xml:space="preserve"> </w:t>
      </w:r>
      <w:r w:rsidRPr="00D32F89">
        <w:rPr>
          <w:rFonts w:ascii="Arial" w:hAnsi="Arial" w:cs="Arial"/>
          <w:lang w:val="en-US"/>
        </w:rPr>
        <w:t xml:space="preserve">The graph shows the trend of three key metrics across academic years. The yellow line represents the average score on the preliminary knowledge survey for second-semester content, indicating a consistent, low level of prior knowledge. The green line shows the average university entrance exam score for each cohort, which has remained relatively stable. The blue line illustrates the </w:t>
      </w:r>
      <w:bookmarkStart w:id="6" w:name="_Hlk208317392"/>
      <w:r w:rsidRPr="00D32F89">
        <w:rPr>
          <w:rFonts w:ascii="Arial" w:hAnsi="Arial" w:cs="Arial"/>
          <w:lang w:val="en-US"/>
        </w:rPr>
        <w:t xml:space="preserve">average final theory grade </w:t>
      </w:r>
      <w:bookmarkEnd w:id="6"/>
      <w:r w:rsidRPr="00D32F89">
        <w:rPr>
          <w:rFonts w:ascii="Arial" w:hAnsi="Arial" w:cs="Arial"/>
          <w:lang w:val="en-US"/>
        </w:rPr>
        <w:t xml:space="preserve">in the course, which shows a significant increase following the implementation of the </w:t>
      </w:r>
      <w:proofErr w:type="spellStart"/>
      <w:r w:rsidRPr="00D32F89">
        <w:rPr>
          <w:rFonts w:ascii="Arial" w:hAnsi="Arial" w:cs="Arial"/>
          <w:lang w:val="en-US"/>
        </w:rPr>
        <w:t>DEAba</w:t>
      </w:r>
      <w:proofErr w:type="spellEnd"/>
      <w:r w:rsidRPr="00D32F89">
        <w:rPr>
          <w:rFonts w:ascii="Arial" w:hAnsi="Arial" w:cs="Arial"/>
          <w:lang w:val="en-US"/>
        </w:rPr>
        <w:t xml:space="preserve"> methodology.</w:t>
      </w:r>
      <w:bookmarkEnd w:id="5"/>
    </w:p>
    <w:p w14:paraId="2397EDE0" w14:textId="26772AF0" w:rsidR="007B4529" w:rsidRPr="00CE46BE" w:rsidRDefault="007B4529" w:rsidP="00CE46BE">
      <w:pPr>
        <w:jc w:val="both"/>
        <w:rPr>
          <w:rFonts w:ascii="Arial" w:hAnsi="Arial" w:cs="Arial"/>
          <w:lang w:val="en-US"/>
        </w:rPr>
      </w:pPr>
      <w:bookmarkStart w:id="7" w:name="_Hlk208334106"/>
      <w:bookmarkStart w:id="8" w:name="_Hlk207963899"/>
      <w:r w:rsidRPr="007B4529">
        <w:rPr>
          <w:rFonts w:ascii="Arial" w:hAnsi="Arial" w:cs="Arial"/>
          <w:b/>
          <w:bCs/>
          <w:lang w:val="en-US"/>
        </w:rPr>
        <w:t xml:space="preserve">Table </w:t>
      </w:r>
      <w:r w:rsidRPr="00CE46BE">
        <w:rPr>
          <w:rFonts w:ascii="Arial" w:hAnsi="Arial" w:cs="Arial"/>
          <w:b/>
          <w:bCs/>
          <w:lang w:val="en-US"/>
        </w:rPr>
        <w:t>S</w:t>
      </w:r>
      <w:r w:rsidRPr="007B4529">
        <w:rPr>
          <w:rFonts w:ascii="Arial" w:hAnsi="Arial" w:cs="Arial"/>
          <w:b/>
          <w:bCs/>
          <w:lang w:val="en-US"/>
        </w:rPr>
        <w:t xml:space="preserve">1. Relationship </w:t>
      </w:r>
      <w:r w:rsidR="00CE46BE">
        <w:rPr>
          <w:rFonts w:ascii="Arial" w:hAnsi="Arial" w:cs="Arial"/>
          <w:b/>
          <w:bCs/>
          <w:lang w:val="en-US"/>
        </w:rPr>
        <w:t>b</w:t>
      </w:r>
      <w:r w:rsidRPr="007B4529">
        <w:rPr>
          <w:rFonts w:ascii="Arial" w:hAnsi="Arial" w:cs="Arial"/>
          <w:b/>
          <w:bCs/>
          <w:lang w:val="en-US"/>
        </w:rPr>
        <w:t xml:space="preserve">etween </w:t>
      </w:r>
      <w:r w:rsidR="00CE46BE">
        <w:rPr>
          <w:rFonts w:ascii="Arial" w:hAnsi="Arial" w:cs="Arial"/>
          <w:b/>
          <w:bCs/>
          <w:lang w:val="en-US"/>
        </w:rPr>
        <w:t>p</w:t>
      </w:r>
      <w:r w:rsidRPr="007B4529">
        <w:rPr>
          <w:rFonts w:ascii="Arial" w:hAnsi="Arial" w:cs="Arial"/>
          <w:b/>
          <w:bCs/>
          <w:lang w:val="en-US"/>
        </w:rPr>
        <w:t>re-</w:t>
      </w:r>
      <w:r w:rsidR="00CE46BE">
        <w:rPr>
          <w:rFonts w:ascii="Arial" w:hAnsi="Arial" w:cs="Arial"/>
          <w:b/>
          <w:bCs/>
          <w:lang w:val="en-US"/>
        </w:rPr>
        <w:t>c</w:t>
      </w:r>
      <w:r w:rsidRPr="007B4529">
        <w:rPr>
          <w:rFonts w:ascii="Arial" w:hAnsi="Arial" w:cs="Arial"/>
          <w:b/>
          <w:bCs/>
          <w:lang w:val="en-US"/>
        </w:rPr>
        <w:t xml:space="preserve">ourse </w:t>
      </w:r>
      <w:r w:rsidR="00CE46BE">
        <w:rPr>
          <w:rFonts w:ascii="Arial" w:hAnsi="Arial" w:cs="Arial"/>
          <w:b/>
          <w:bCs/>
          <w:lang w:val="en-US"/>
        </w:rPr>
        <w:t>d</w:t>
      </w:r>
      <w:r w:rsidRPr="007B4529">
        <w:rPr>
          <w:rFonts w:ascii="Arial" w:hAnsi="Arial" w:cs="Arial"/>
          <w:b/>
          <w:bCs/>
          <w:lang w:val="en-US"/>
        </w:rPr>
        <w:t xml:space="preserve">iagnostic </w:t>
      </w:r>
      <w:r w:rsidR="00CE46BE">
        <w:rPr>
          <w:rFonts w:ascii="Arial" w:hAnsi="Arial" w:cs="Arial"/>
          <w:b/>
          <w:bCs/>
          <w:lang w:val="en-US"/>
        </w:rPr>
        <w:t>q</w:t>
      </w:r>
      <w:r w:rsidRPr="007B4529">
        <w:rPr>
          <w:rFonts w:ascii="Arial" w:hAnsi="Arial" w:cs="Arial"/>
          <w:b/>
          <w:bCs/>
          <w:lang w:val="en-US"/>
        </w:rPr>
        <w:t xml:space="preserve">uestions and </w:t>
      </w:r>
      <w:r w:rsidR="00CE46BE">
        <w:rPr>
          <w:rFonts w:ascii="Arial" w:hAnsi="Arial" w:cs="Arial"/>
          <w:b/>
          <w:bCs/>
          <w:lang w:val="en-US"/>
        </w:rPr>
        <w:t>o</w:t>
      </w:r>
      <w:r w:rsidRPr="007B4529">
        <w:rPr>
          <w:rFonts w:ascii="Arial" w:hAnsi="Arial" w:cs="Arial"/>
          <w:b/>
          <w:bCs/>
          <w:lang w:val="en-US"/>
        </w:rPr>
        <w:t xml:space="preserve">fficial </w:t>
      </w:r>
      <w:r w:rsidR="00CE46BE">
        <w:rPr>
          <w:rFonts w:ascii="Arial" w:hAnsi="Arial" w:cs="Arial"/>
          <w:b/>
          <w:bCs/>
          <w:lang w:val="en-US"/>
        </w:rPr>
        <w:t>h</w:t>
      </w:r>
      <w:r w:rsidRPr="007B4529">
        <w:rPr>
          <w:rFonts w:ascii="Arial" w:hAnsi="Arial" w:cs="Arial"/>
          <w:b/>
          <w:bCs/>
          <w:lang w:val="en-US"/>
        </w:rPr>
        <w:t xml:space="preserve">igh </w:t>
      </w:r>
      <w:r w:rsidR="00CE46BE">
        <w:rPr>
          <w:rFonts w:ascii="Arial" w:hAnsi="Arial" w:cs="Arial"/>
          <w:b/>
          <w:bCs/>
          <w:lang w:val="en-US"/>
        </w:rPr>
        <w:t>s</w:t>
      </w:r>
      <w:r w:rsidRPr="007B4529">
        <w:rPr>
          <w:rFonts w:ascii="Arial" w:hAnsi="Arial" w:cs="Arial"/>
          <w:b/>
          <w:bCs/>
          <w:lang w:val="en-US"/>
        </w:rPr>
        <w:t xml:space="preserve">chool </w:t>
      </w:r>
      <w:r w:rsidR="00CE46BE">
        <w:rPr>
          <w:rFonts w:ascii="Arial" w:hAnsi="Arial" w:cs="Arial"/>
          <w:b/>
          <w:bCs/>
          <w:lang w:val="en-US"/>
        </w:rPr>
        <w:t>c</w:t>
      </w:r>
      <w:r w:rsidRPr="007B4529">
        <w:rPr>
          <w:rFonts w:ascii="Arial" w:hAnsi="Arial" w:cs="Arial"/>
          <w:b/>
          <w:bCs/>
          <w:lang w:val="en-US"/>
        </w:rPr>
        <w:t xml:space="preserve">urriculum </w:t>
      </w:r>
      <w:r w:rsidR="00CE46BE">
        <w:rPr>
          <w:rFonts w:ascii="Arial" w:hAnsi="Arial" w:cs="Arial"/>
          <w:b/>
          <w:bCs/>
          <w:lang w:val="en-US"/>
        </w:rPr>
        <w:t>c</w:t>
      </w:r>
      <w:r w:rsidRPr="007B4529">
        <w:rPr>
          <w:rFonts w:ascii="Arial" w:hAnsi="Arial" w:cs="Arial"/>
          <w:b/>
          <w:bCs/>
          <w:lang w:val="en-US"/>
        </w:rPr>
        <w:t>ontent.</w:t>
      </w:r>
      <w:r w:rsidRPr="00CE46BE">
        <w:rPr>
          <w:rFonts w:ascii="Arial" w:hAnsi="Arial" w:cs="Arial"/>
          <w:b/>
          <w:bCs/>
          <w:lang w:val="en-US"/>
        </w:rPr>
        <w:t xml:space="preserve"> </w:t>
      </w:r>
      <w:r w:rsidRPr="007B4529">
        <w:rPr>
          <w:rFonts w:ascii="Arial" w:hAnsi="Arial" w:cs="Arial"/>
          <w:lang w:val="en-US"/>
        </w:rPr>
        <w:t>This table maps the 12 diagnostic questions to the official Spanish high school curriculum. The content was verified against the LOMCE (Organic Law for the Improvement of Educational Quality, established by Royal Decree 1105/2014) and the current LOMLOE (Organic Law for the Modification of the LOE, established by Royal Decrees 217/2022 and 243/2022).</w:t>
      </w:r>
    </w:p>
    <w:p w14:paraId="0ED98558" w14:textId="3E7D3E81" w:rsidR="00CE46BE" w:rsidRDefault="00CE46BE" w:rsidP="00CE46BE">
      <w:pPr>
        <w:jc w:val="both"/>
        <w:rPr>
          <w:rFonts w:ascii="Arial" w:hAnsi="Arial" w:cs="Arial"/>
          <w:lang w:val="en-US"/>
        </w:rPr>
      </w:pPr>
      <w:r w:rsidRPr="00CE46BE">
        <w:rPr>
          <w:rFonts w:ascii="Arial" w:hAnsi="Arial" w:cs="Arial"/>
          <w:b/>
          <w:bCs/>
          <w:lang w:val="en-US"/>
        </w:rPr>
        <w:t>Table S2.</w:t>
      </w:r>
      <w:r w:rsidRPr="00CE46BE">
        <w:rPr>
          <w:rFonts w:ascii="Arial" w:hAnsi="Arial" w:cs="Arial"/>
          <w:lang w:val="en-US"/>
        </w:rPr>
        <w:t xml:space="preserve"> </w:t>
      </w:r>
      <w:r w:rsidRPr="006541F7">
        <w:rPr>
          <w:rFonts w:ascii="Arial" w:hAnsi="Arial" w:cs="Arial"/>
          <w:b/>
          <w:bCs/>
          <w:lang w:val="en-US"/>
        </w:rPr>
        <w:t>Initial student perception survey.</w:t>
      </w:r>
      <w:r w:rsidRPr="00CE46BE">
        <w:rPr>
          <w:rFonts w:ascii="Arial" w:hAnsi="Arial" w:cs="Arial"/>
          <w:lang w:val="en-US"/>
        </w:rPr>
        <w:t xml:space="preserve"> This table provides the complete list of the 18 questions from the initial perception survey, administered to students on the first day of the second semester. The questions were designed to assess various aspects of their prior educational experience, their perception of high school content, their attitude toward the Biochemistry course, and their perceived preparedness for it. Responses to these questions were rated on a 1-10 Likert scale and were used to diagnose the initial state of the student body before the implementation of the </w:t>
      </w:r>
      <w:proofErr w:type="spellStart"/>
      <w:r w:rsidRPr="00CE46BE">
        <w:rPr>
          <w:rFonts w:ascii="Arial" w:hAnsi="Arial" w:cs="Arial"/>
          <w:lang w:val="en-US"/>
        </w:rPr>
        <w:t>DEAba</w:t>
      </w:r>
      <w:proofErr w:type="spellEnd"/>
      <w:r w:rsidRPr="00CE46BE">
        <w:rPr>
          <w:rFonts w:ascii="Arial" w:hAnsi="Arial" w:cs="Arial"/>
          <w:lang w:val="en-US"/>
        </w:rPr>
        <w:t xml:space="preserve"> methodology.</w:t>
      </w:r>
    </w:p>
    <w:p w14:paraId="75EBB62E" w14:textId="0C167E96" w:rsidR="006541F7" w:rsidRDefault="006541F7" w:rsidP="006541F7">
      <w:pPr>
        <w:jc w:val="both"/>
        <w:rPr>
          <w:rFonts w:ascii="Arial" w:hAnsi="Arial" w:cs="Arial"/>
          <w:lang w:val="en-US"/>
        </w:rPr>
      </w:pPr>
      <w:r w:rsidRPr="006541F7">
        <w:rPr>
          <w:rFonts w:ascii="Arial" w:hAnsi="Arial" w:cs="Arial"/>
          <w:b/>
          <w:bCs/>
          <w:lang w:val="en-US"/>
        </w:rPr>
        <w:t>Figure S1. Initial student perceptions by academic year.</w:t>
      </w:r>
      <w:r>
        <w:rPr>
          <w:rFonts w:ascii="Arial" w:hAnsi="Arial" w:cs="Arial"/>
          <w:lang w:val="en-US"/>
        </w:rPr>
        <w:t xml:space="preserve"> </w:t>
      </w:r>
      <w:r w:rsidRPr="006541F7">
        <w:rPr>
          <w:rFonts w:ascii="Arial" w:hAnsi="Arial" w:cs="Arial"/>
          <w:lang w:val="en-US"/>
        </w:rPr>
        <w:t xml:space="preserve">This figure presents the distribution of student responses (1–10 Likert scale) for each of the 18 questions on the initial perception survey (see Supplementary Table S2), broken down by academic year. The data corresponds to surveys administered on the first day of the second semester, before any </w:t>
      </w:r>
      <w:proofErr w:type="spellStart"/>
      <w:r w:rsidRPr="006541F7">
        <w:rPr>
          <w:rFonts w:ascii="Arial" w:hAnsi="Arial" w:cs="Arial"/>
          <w:lang w:val="en-US"/>
        </w:rPr>
        <w:t>DEAba</w:t>
      </w:r>
      <w:proofErr w:type="spellEnd"/>
      <w:r w:rsidRPr="006541F7">
        <w:rPr>
          <w:rFonts w:ascii="Arial" w:hAnsi="Arial" w:cs="Arial"/>
          <w:lang w:val="en-US"/>
        </w:rPr>
        <w:t xml:space="preserve"> methodology intervention. These visual results allow for a detailed evaluation of temporal trends in student perception, serving as a diagnosis of the evolution of their attitude and expectations throughout different study periods.</w:t>
      </w:r>
    </w:p>
    <w:p w14:paraId="6192C418" w14:textId="7D29DC0E" w:rsidR="00FF5D48" w:rsidRDefault="00FF5D48" w:rsidP="00FF5D48">
      <w:pPr>
        <w:jc w:val="both"/>
        <w:rPr>
          <w:rFonts w:ascii="Arial" w:hAnsi="Arial" w:cs="Arial"/>
          <w:lang w:val="en-US"/>
        </w:rPr>
      </w:pPr>
      <w:r w:rsidRPr="00FF5D48">
        <w:rPr>
          <w:rFonts w:ascii="Arial" w:hAnsi="Arial" w:cs="Arial"/>
          <w:b/>
          <w:bCs/>
          <w:lang w:val="en-US"/>
        </w:rPr>
        <w:t xml:space="preserve">Figure S2. Evolution of the </w:t>
      </w:r>
      <w:r>
        <w:rPr>
          <w:rFonts w:ascii="Arial" w:hAnsi="Arial" w:cs="Arial"/>
          <w:b/>
          <w:bCs/>
          <w:lang w:val="en-US"/>
        </w:rPr>
        <w:t>f</w:t>
      </w:r>
      <w:r w:rsidRPr="00FF5D48">
        <w:rPr>
          <w:rFonts w:ascii="Arial" w:hAnsi="Arial" w:cs="Arial"/>
          <w:b/>
          <w:bCs/>
          <w:lang w:val="en-US"/>
        </w:rPr>
        <w:t xml:space="preserve">requency of the 10 </w:t>
      </w:r>
      <w:r>
        <w:rPr>
          <w:rFonts w:ascii="Arial" w:hAnsi="Arial" w:cs="Arial"/>
          <w:b/>
          <w:bCs/>
          <w:lang w:val="en-US"/>
        </w:rPr>
        <w:t>m</w:t>
      </w:r>
      <w:r w:rsidRPr="00FF5D48">
        <w:rPr>
          <w:rFonts w:ascii="Arial" w:hAnsi="Arial" w:cs="Arial"/>
          <w:b/>
          <w:bCs/>
          <w:lang w:val="en-US"/>
        </w:rPr>
        <w:t xml:space="preserve">ost </w:t>
      </w:r>
      <w:r>
        <w:rPr>
          <w:rFonts w:ascii="Arial" w:hAnsi="Arial" w:cs="Arial"/>
          <w:b/>
          <w:bCs/>
          <w:lang w:val="en-US"/>
        </w:rPr>
        <w:t>c</w:t>
      </w:r>
      <w:r w:rsidRPr="00FF5D48">
        <w:rPr>
          <w:rFonts w:ascii="Arial" w:hAnsi="Arial" w:cs="Arial"/>
          <w:b/>
          <w:bCs/>
          <w:lang w:val="en-US"/>
        </w:rPr>
        <w:t xml:space="preserve">ommon </w:t>
      </w:r>
      <w:r>
        <w:rPr>
          <w:rFonts w:ascii="Arial" w:hAnsi="Arial" w:cs="Arial"/>
          <w:b/>
          <w:bCs/>
          <w:lang w:val="en-US"/>
        </w:rPr>
        <w:t>t</w:t>
      </w:r>
      <w:r w:rsidRPr="00FF5D48">
        <w:rPr>
          <w:rFonts w:ascii="Arial" w:hAnsi="Arial" w:cs="Arial"/>
          <w:b/>
          <w:bCs/>
          <w:lang w:val="en-US"/>
        </w:rPr>
        <w:t>opics.</w:t>
      </w:r>
      <w:r>
        <w:rPr>
          <w:rFonts w:ascii="Arial" w:hAnsi="Arial" w:cs="Arial"/>
          <w:b/>
          <w:bCs/>
          <w:lang w:val="en-US"/>
        </w:rPr>
        <w:t xml:space="preserve"> </w:t>
      </w:r>
      <w:r w:rsidRPr="00FF5D48">
        <w:rPr>
          <w:rFonts w:ascii="Arial" w:hAnsi="Arial" w:cs="Arial"/>
          <w:lang w:val="en-US"/>
        </w:rPr>
        <w:t>This line chart illustrates how the frequency of the 10 most common topics on the University Entrance Exams has changed annually from 2001 to 2024. Each colored line represents a specific topic, showing its individual fluctuation in exam questions over time. This figure serves as a visual representation of the analysis, supporting the finding that while a strong preference exists for certain topics, there is no statistically significant linear trend in their frequency over the period. It helps to clarify that the selective nature of the exam is a consistent feature rather than an evolving trend.</w:t>
      </w:r>
    </w:p>
    <w:p w14:paraId="03678178" w14:textId="01A66BE3" w:rsidR="001A42E4" w:rsidRDefault="001A42E4" w:rsidP="001A42E4">
      <w:pPr>
        <w:jc w:val="both"/>
        <w:rPr>
          <w:rFonts w:ascii="Arial" w:hAnsi="Arial" w:cs="Arial"/>
          <w:lang w:val="en-US"/>
        </w:rPr>
      </w:pPr>
      <w:r w:rsidRPr="001A42E4">
        <w:rPr>
          <w:rFonts w:ascii="Arial" w:hAnsi="Arial" w:cs="Arial"/>
          <w:b/>
          <w:bCs/>
          <w:lang w:val="en-US"/>
        </w:rPr>
        <w:t>Figure S</w:t>
      </w:r>
      <w:r>
        <w:rPr>
          <w:rFonts w:ascii="Arial" w:hAnsi="Arial" w:cs="Arial"/>
          <w:b/>
          <w:bCs/>
          <w:lang w:val="en-US"/>
        </w:rPr>
        <w:t>3</w:t>
      </w:r>
      <w:r w:rsidRPr="001A42E4">
        <w:rPr>
          <w:rFonts w:ascii="Arial" w:hAnsi="Arial" w:cs="Arial"/>
          <w:b/>
          <w:bCs/>
          <w:lang w:val="en-US"/>
        </w:rPr>
        <w:t xml:space="preserve">: Detailed </w:t>
      </w:r>
      <w:r>
        <w:rPr>
          <w:rFonts w:ascii="Arial" w:hAnsi="Arial" w:cs="Arial"/>
          <w:b/>
          <w:bCs/>
          <w:lang w:val="en-US"/>
        </w:rPr>
        <w:t>g</w:t>
      </w:r>
      <w:r w:rsidRPr="001A42E4">
        <w:rPr>
          <w:rFonts w:ascii="Arial" w:hAnsi="Arial" w:cs="Arial"/>
          <w:b/>
          <w:bCs/>
          <w:lang w:val="en-US"/>
        </w:rPr>
        <w:t xml:space="preserve">rade </w:t>
      </w:r>
      <w:r>
        <w:rPr>
          <w:rFonts w:ascii="Arial" w:hAnsi="Arial" w:cs="Arial"/>
          <w:b/>
          <w:bCs/>
          <w:lang w:val="en-US"/>
        </w:rPr>
        <w:t>d</w:t>
      </w:r>
      <w:r w:rsidRPr="001A42E4">
        <w:rPr>
          <w:rFonts w:ascii="Arial" w:hAnsi="Arial" w:cs="Arial"/>
          <w:b/>
          <w:bCs/>
          <w:lang w:val="en-US"/>
        </w:rPr>
        <w:t>istributions</w:t>
      </w:r>
      <w:r>
        <w:rPr>
          <w:rFonts w:ascii="Arial" w:hAnsi="Arial" w:cs="Arial"/>
          <w:b/>
          <w:bCs/>
          <w:lang w:val="en-US"/>
        </w:rPr>
        <w:t xml:space="preserve">. </w:t>
      </w:r>
      <w:r w:rsidRPr="001A42E4">
        <w:rPr>
          <w:rFonts w:ascii="Arial" w:hAnsi="Arial" w:cs="Arial"/>
          <w:lang w:val="en-US"/>
        </w:rPr>
        <w:t xml:space="preserve">Histograms of student final grades for each academic year. The graphs show the frequency of grades in each range. Note the highly skewed distribution in the 2019/2020 academic year and the gradual shift towards higher scores in the years following the implementation of the </w:t>
      </w:r>
      <w:proofErr w:type="spellStart"/>
      <w:r w:rsidRPr="001A42E4">
        <w:rPr>
          <w:rFonts w:ascii="Arial" w:hAnsi="Arial" w:cs="Arial"/>
          <w:lang w:val="en-US"/>
        </w:rPr>
        <w:t>DEAba</w:t>
      </w:r>
      <w:proofErr w:type="spellEnd"/>
      <w:r w:rsidRPr="001A42E4">
        <w:rPr>
          <w:rFonts w:ascii="Arial" w:hAnsi="Arial" w:cs="Arial"/>
          <w:lang w:val="en-US"/>
        </w:rPr>
        <w:t xml:space="preserve"> methodology.</w:t>
      </w:r>
    </w:p>
    <w:p w14:paraId="5FA6C3B1" w14:textId="0E7E9A93" w:rsidR="000D4B31" w:rsidRPr="001A42E4" w:rsidRDefault="000D4B31" w:rsidP="001A42E4">
      <w:pPr>
        <w:jc w:val="both"/>
        <w:rPr>
          <w:rFonts w:ascii="Arial" w:hAnsi="Arial" w:cs="Arial"/>
          <w:lang w:val="en-US"/>
        </w:rPr>
      </w:pPr>
      <w:r w:rsidRPr="000D4B31">
        <w:rPr>
          <w:rFonts w:ascii="Arial" w:hAnsi="Arial" w:cs="Arial"/>
          <w:b/>
          <w:bCs/>
          <w:lang w:val="en-US"/>
        </w:rPr>
        <w:t>Figure S4</w:t>
      </w:r>
      <w:r>
        <w:rPr>
          <w:rFonts w:ascii="Arial" w:hAnsi="Arial" w:cs="Arial"/>
          <w:b/>
          <w:bCs/>
          <w:lang w:val="en-US"/>
        </w:rPr>
        <w:t>.</w:t>
      </w:r>
      <w:r w:rsidRPr="000D4B31">
        <w:rPr>
          <w:rFonts w:ascii="Arial" w:hAnsi="Arial" w:cs="Arial"/>
          <w:b/>
          <w:bCs/>
          <w:lang w:val="en-US"/>
        </w:rPr>
        <w:t xml:space="preserve"> Yearly </w:t>
      </w:r>
      <w:r>
        <w:rPr>
          <w:rFonts w:ascii="Arial" w:hAnsi="Arial" w:cs="Arial"/>
          <w:b/>
          <w:bCs/>
          <w:lang w:val="en-US"/>
        </w:rPr>
        <w:t>e</w:t>
      </w:r>
      <w:r w:rsidRPr="000D4B31">
        <w:rPr>
          <w:rFonts w:ascii="Arial" w:hAnsi="Arial" w:cs="Arial"/>
          <w:b/>
          <w:bCs/>
          <w:lang w:val="en-US"/>
        </w:rPr>
        <w:t xml:space="preserve">volution of </w:t>
      </w:r>
      <w:r>
        <w:rPr>
          <w:rFonts w:ascii="Arial" w:hAnsi="Arial" w:cs="Arial"/>
          <w:b/>
          <w:bCs/>
          <w:lang w:val="en-US"/>
        </w:rPr>
        <w:t>s</w:t>
      </w:r>
      <w:r w:rsidRPr="000D4B31">
        <w:rPr>
          <w:rFonts w:ascii="Arial" w:hAnsi="Arial" w:cs="Arial"/>
          <w:b/>
          <w:bCs/>
          <w:lang w:val="en-US"/>
        </w:rPr>
        <w:t xml:space="preserve">tudent </w:t>
      </w:r>
      <w:r>
        <w:rPr>
          <w:rFonts w:ascii="Arial" w:hAnsi="Arial" w:cs="Arial"/>
          <w:b/>
          <w:bCs/>
          <w:lang w:val="en-US"/>
        </w:rPr>
        <w:t>p</w:t>
      </w:r>
      <w:r w:rsidRPr="000D4B31">
        <w:rPr>
          <w:rFonts w:ascii="Arial" w:hAnsi="Arial" w:cs="Arial"/>
          <w:b/>
          <w:bCs/>
          <w:lang w:val="en-US"/>
        </w:rPr>
        <w:t>erception</w:t>
      </w:r>
      <w:r>
        <w:rPr>
          <w:rFonts w:ascii="Arial" w:hAnsi="Arial" w:cs="Arial"/>
          <w:b/>
          <w:bCs/>
          <w:lang w:val="en-US"/>
        </w:rPr>
        <w:t xml:space="preserve"> of the </w:t>
      </w:r>
      <w:proofErr w:type="spellStart"/>
      <w:r>
        <w:rPr>
          <w:rFonts w:ascii="Arial" w:hAnsi="Arial" w:cs="Arial"/>
          <w:b/>
          <w:bCs/>
          <w:lang w:val="en-US"/>
        </w:rPr>
        <w:t>DEAba</w:t>
      </w:r>
      <w:proofErr w:type="spellEnd"/>
      <w:r>
        <w:rPr>
          <w:rFonts w:ascii="Arial" w:hAnsi="Arial" w:cs="Arial"/>
          <w:b/>
          <w:bCs/>
          <w:lang w:val="en-US"/>
        </w:rPr>
        <w:t xml:space="preserve"> methodology. </w:t>
      </w:r>
      <w:r w:rsidRPr="000D4B31">
        <w:rPr>
          <w:rFonts w:ascii="Arial" w:hAnsi="Arial" w:cs="Arial"/>
          <w:lang w:val="en-US"/>
        </w:rPr>
        <w:t xml:space="preserve">Boxplots showing the evolution of student responses to the </w:t>
      </w:r>
      <w:proofErr w:type="spellStart"/>
      <w:r w:rsidRPr="000D4B31">
        <w:rPr>
          <w:rFonts w:ascii="Arial" w:hAnsi="Arial" w:cs="Arial"/>
          <w:lang w:val="en-US"/>
        </w:rPr>
        <w:t>DEAba</w:t>
      </w:r>
      <w:proofErr w:type="spellEnd"/>
      <w:r w:rsidRPr="000D4B31">
        <w:rPr>
          <w:rFonts w:ascii="Arial" w:hAnsi="Arial" w:cs="Arial"/>
          <w:lang w:val="en-US"/>
        </w:rPr>
        <w:t xml:space="preserve"> perception survey questions by academic year. The graph illustrates the upward trend in positive perception (Q1, Q4, Q5) and the downward trend in negative perception (Q2, Q3) over the three years of implementation, suggesting a growing acceptance of the methodology over time.</w:t>
      </w:r>
    </w:p>
    <w:p w14:paraId="5E088383" w14:textId="4C263D2E" w:rsidR="00636519" w:rsidRDefault="00552CFF" w:rsidP="00552CFF">
      <w:pPr>
        <w:jc w:val="both"/>
        <w:rPr>
          <w:rFonts w:ascii="Arial" w:hAnsi="Arial" w:cs="Arial"/>
          <w:lang w:val="en-US"/>
        </w:rPr>
      </w:pPr>
      <w:r>
        <w:rPr>
          <w:rFonts w:ascii="Arial" w:hAnsi="Arial" w:cs="Arial"/>
          <w:b/>
          <w:bCs/>
          <w:lang w:val="en-US"/>
        </w:rPr>
        <w:lastRenderedPageBreak/>
        <w:t xml:space="preserve">Supplementary Material 1, SM1. </w:t>
      </w:r>
      <w:r w:rsidRPr="00552879">
        <w:rPr>
          <w:rFonts w:ascii="Arial" w:hAnsi="Arial" w:cs="Arial"/>
          <w:b/>
          <w:bCs/>
          <w:lang w:val="en-US"/>
        </w:rPr>
        <w:t xml:space="preserve">Preliminary </w:t>
      </w:r>
      <w:r w:rsidR="001A57A2">
        <w:rPr>
          <w:rFonts w:ascii="Arial" w:hAnsi="Arial" w:cs="Arial"/>
          <w:b/>
          <w:bCs/>
          <w:lang w:val="en-US"/>
        </w:rPr>
        <w:t>k</w:t>
      </w:r>
      <w:r w:rsidRPr="00552879">
        <w:rPr>
          <w:rFonts w:ascii="Arial" w:hAnsi="Arial" w:cs="Arial"/>
          <w:b/>
          <w:bCs/>
          <w:lang w:val="en-US"/>
        </w:rPr>
        <w:t xml:space="preserve">nowledge </w:t>
      </w:r>
      <w:r w:rsidR="001A57A2">
        <w:rPr>
          <w:rFonts w:ascii="Arial" w:hAnsi="Arial" w:cs="Arial"/>
          <w:b/>
          <w:bCs/>
          <w:lang w:val="en-US"/>
        </w:rPr>
        <w:t>s</w:t>
      </w:r>
      <w:r w:rsidRPr="00552879">
        <w:rPr>
          <w:rFonts w:ascii="Arial" w:hAnsi="Arial" w:cs="Arial"/>
          <w:b/>
          <w:bCs/>
          <w:lang w:val="en-US"/>
        </w:rPr>
        <w:t xml:space="preserve">urvey. </w:t>
      </w:r>
      <w:r w:rsidRPr="00552879">
        <w:rPr>
          <w:rFonts w:ascii="Arial" w:hAnsi="Arial" w:cs="Arial"/>
          <w:lang w:val="en-US"/>
        </w:rPr>
        <w:t>This document presents the full list of questions from the diagnostic assessment administered to incoming students. The questions are mapped to the official Spanish high school curriculum, as outlined in the LOMCE (Organic Law for the Improvement of Educational Quality, established by Royal Decree 1105/2014) and the current LOMLOE (Organic Law for the Modification of the LOE, established by Royal Decrees 217/2022 and 243/2022). This survey served as the initial empirical evidence to diagnose the students' foundational knowledge.</w:t>
      </w:r>
    </w:p>
    <w:p w14:paraId="58EFBD2C" w14:textId="44B3E0AD" w:rsidR="00552CFF" w:rsidRPr="00BE537F" w:rsidRDefault="00552CFF" w:rsidP="00552CFF">
      <w:pPr>
        <w:jc w:val="both"/>
        <w:rPr>
          <w:rFonts w:ascii="Arial" w:hAnsi="Arial" w:cs="Arial"/>
          <w:lang w:val="en-US"/>
        </w:rPr>
      </w:pPr>
      <w:r>
        <w:rPr>
          <w:rFonts w:ascii="Arial" w:hAnsi="Arial" w:cs="Arial"/>
          <w:b/>
          <w:bCs/>
          <w:lang w:val="en-US"/>
        </w:rPr>
        <w:t xml:space="preserve">Supplementary </w:t>
      </w:r>
      <w:r w:rsidR="001A57A2">
        <w:rPr>
          <w:rFonts w:ascii="Arial" w:hAnsi="Arial" w:cs="Arial"/>
          <w:b/>
          <w:bCs/>
          <w:lang w:val="en-US"/>
        </w:rPr>
        <w:t>M</w:t>
      </w:r>
      <w:r>
        <w:rPr>
          <w:rFonts w:ascii="Arial" w:hAnsi="Arial" w:cs="Arial"/>
          <w:b/>
          <w:bCs/>
          <w:lang w:val="en-US"/>
        </w:rPr>
        <w:t>aterial 2</w:t>
      </w:r>
      <w:r w:rsidR="00636519">
        <w:rPr>
          <w:rFonts w:ascii="Arial" w:hAnsi="Arial" w:cs="Arial"/>
          <w:b/>
          <w:bCs/>
          <w:lang w:val="en-US"/>
        </w:rPr>
        <w:t>, SM2</w:t>
      </w:r>
      <w:r w:rsidRPr="00BE537F">
        <w:rPr>
          <w:rFonts w:ascii="Arial" w:hAnsi="Arial" w:cs="Arial"/>
          <w:b/>
          <w:bCs/>
          <w:lang w:val="en-US"/>
        </w:rPr>
        <w:t xml:space="preserve">. </w:t>
      </w:r>
      <w:proofErr w:type="spellStart"/>
      <w:r w:rsidRPr="00BE537F">
        <w:rPr>
          <w:rFonts w:ascii="Arial" w:hAnsi="Arial" w:cs="Arial"/>
          <w:b/>
          <w:bCs/>
          <w:lang w:val="en-US"/>
        </w:rPr>
        <w:t>DEAba</w:t>
      </w:r>
      <w:proofErr w:type="spellEnd"/>
      <w:r w:rsidRPr="00BE537F">
        <w:rPr>
          <w:rFonts w:ascii="Arial" w:hAnsi="Arial" w:cs="Arial"/>
          <w:b/>
          <w:bCs/>
          <w:lang w:val="en-US"/>
        </w:rPr>
        <w:t xml:space="preserve"> </w:t>
      </w:r>
      <w:r w:rsidR="001A57A2">
        <w:rPr>
          <w:rFonts w:ascii="Arial" w:hAnsi="Arial" w:cs="Arial"/>
          <w:b/>
          <w:bCs/>
          <w:lang w:val="en-US"/>
        </w:rPr>
        <w:t>a</w:t>
      </w:r>
      <w:r w:rsidRPr="00BE537F">
        <w:rPr>
          <w:rFonts w:ascii="Arial" w:hAnsi="Arial" w:cs="Arial"/>
          <w:b/>
          <w:bCs/>
          <w:lang w:val="en-US"/>
        </w:rPr>
        <w:t xml:space="preserve">ctivity </w:t>
      </w:r>
      <w:r w:rsidR="001A57A2">
        <w:rPr>
          <w:rFonts w:ascii="Arial" w:hAnsi="Arial" w:cs="Arial"/>
          <w:b/>
          <w:bCs/>
          <w:lang w:val="en-US"/>
        </w:rPr>
        <w:t>p</w:t>
      </w:r>
      <w:r w:rsidRPr="00BE537F">
        <w:rPr>
          <w:rFonts w:ascii="Arial" w:hAnsi="Arial" w:cs="Arial"/>
          <w:b/>
          <w:bCs/>
          <w:lang w:val="en-US"/>
        </w:rPr>
        <w:t xml:space="preserve">erception </w:t>
      </w:r>
      <w:r w:rsidR="001A57A2">
        <w:rPr>
          <w:rFonts w:ascii="Arial" w:hAnsi="Arial" w:cs="Arial"/>
          <w:b/>
          <w:bCs/>
          <w:lang w:val="en-US"/>
        </w:rPr>
        <w:t>s</w:t>
      </w:r>
      <w:r w:rsidRPr="00BE537F">
        <w:rPr>
          <w:rFonts w:ascii="Arial" w:hAnsi="Arial" w:cs="Arial"/>
          <w:b/>
          <w:bCs/>
          <w:lang w:val="en-US"/>
        </w:rPr>
        <w:t>urvey.</w:t>
      </w:r>
      <w:r w:rsidRPr="00BE537F">
        <w:rPr>
          <w:rFonts w:ascii="Arial" w:hAnsi="Arial" w:cs="Arial"/>
          <w:lang w:val="en-US"/>
        </w:rPr>
        <w:t xml:space="preserve"> These questions were administered to students after the application of the </w:t>
      </w:r>
      <w:proofErr w:type="spellStart"/>
      <w:r w:rsidRPr="00BE537F">
        <w:rPr>
          <w:rFonts w:ascii="Arial" w:hAnsi="Arial" w:cs="Arial"/>
          <w:lang w:val="en-US"/>
        </w:rPr>
        <w:t>DEAba</w:t>
      </w:r>
      <w:proofErr w:type="spellEnd"/>
      <w:r w:rsidRPr="00BE537F">
        <w:rPr>
          <w:rFonts w:ascii="Arial" w:hAnsi="Arial" w:cs="Arial"/>
          <w:lang w:val="en-US"/>
        </w:rPr>
        <w:t xml:space="preserve"> methodology. Responses to these questions were rated on a 1-10 Likert.</w:t>
      </w:r>
    </w:p>
    <w:bookmarkEnd w:id="7"/>
    <w:p w14:paraId="5B5C3508" w14:textId="77777777" w:rsidR="001A42E4" w:rsidRPr="00FF5D48" w:rsidRDefault="001A42E4" w:rsidP="00FF5D48">
      <w:pPr>
        <w:jc w:val="both"/>
        <w:rPr>
          <w:rFonts w:ascii="Arial" w:hAnsi="Arial" w:cs="Arial"/>
          <w:lang w:val="en-US"/>
        </w:rPr>
      </w:pPr>
    </w:p>
    <w:p w14:paraId="49E907AE" w14:textId="77777777" w:rsidR="006541F7" w:rsidRPr="00CE46BE" w:rsidRDefault="006541F7" w:rsidP="006541F7">
      <w:pPr>
        <w:jc w:val="both"/>
        <w:rPr>
          <w:rFonts w:ascii="Arial" w:hAnsi="Arial" w:cs="Arial"/>
          <w:lang w:val="en-US"/>
        </w:rPr>
      </w:pPr>
    </w:p>
    <w:p w14:paraId="3E5398EE" w14:textId="77777777" w:rsidR="00CE46BE" w:rsidRPr="007B4529" w:rsidRDefault="00CE46BE" w:rsidP="007B4529">
      <w:pPr>
        <w:rPr>
          <w:lang w:val="en-US"/>
        </w:rPr>
      </w:pPr>
    </w:p>
    <w:bookmarkEnd w:id="8"/>
    <w:p w14:paraId="576BE4BF" w14:textId="77777777" w:rsidR="007B4529" w:rsidRPr="00631592" w:rsidRDefault="007B4529" w:rsidP="00631592">
      <w:pPr>
        <w:rPr>
          <w:lang w:val="en-US"/>
        </w:rPr>
      </w:pPr>
    </w:p>
    <w:p w14:paraId="52532F78" w14:textId="77777777" w:rsidR="00631592" w:rsidRPr="00631592" w:rsidRDefault="00631592">
      <w:pPr>
        <w:rPr>
          <w:lang w:val="en-US"/>
        </w:rPr>
      </w:pPr>
    </w:p>
    <w:sectPr w:rsidR="00631592" w:rsidRPr="006315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B2728"/>
    <w:multiLevelType w:val="multilevel"/>
    <w:tmpl w:val="CFF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540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592"/>
    <w:rsid w:val="000D4B31"/>
    <w:rsid w:val="001A42E4"/>
    <w:rsid w:val="001A57A2"/>
    <w:rsid w:val="003E1C6F"/>
    <w:rsid w:val="00545375"/>
    <w:rsid w:val="00552CFF"/>
    <w:rsid w:val="005679CB"/>
    <w:rsid w:val="0059015D"/>
    <w:rsid w:val="006104CF"/>
    <w:rsid w:val="00631592"/>
    <w:rsid w:val="00636519"/>
    <w:rsid w:val="006541F7"/>
    <w:rsid w:val="00675B93"/>
    <w:rsid w:val="006C4A7F"/>
    <w:rsid w:val="006E7259"/>
    <w:rsid w:val="007B4529"/>
    <w:rsid w:val="00844EF9"/>
    <w:rsid w:val="00CD5C5F"/>
    <w:rsid w:val="00CE46BE"/>
    <w:rsid w:val="00D32F89"/>
    <w:rsid w:val="00E72A30"/>
    <w:rsid w:val="00EF29D4"/>
    <w:rsid w:val="00FF5D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6F7F7"/>
  <w15:chartTrackingRefBased/>
  <w15:docId w15:val="{485CBEBC-3FBD-47FF-AD0A-FC37E2ED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1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1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15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15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15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15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15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15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15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15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15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15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15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15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15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15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15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1592"/>
    <w:rPr>
      <w:rFonts w:eastAsiaTheme="majorEastAsia" w:cstheme="majorBidi"/>
      <w:color w:val="272727" w:themeColor="text1" w:themeTint="D8"/>
    </w:rPr>
  </w:style>
  <w:style w:type="paragraph" w:styleId="Ttulo">
    <w:name w:val="Title"/>
    <w:basedOn w:val="Normal"/>
    <w:next w:val="Normal"/>
    <w:link w:val="TtuloCar"/>
    <w:uiPriority w:val="10"/>
    <w:qFormat/>
    <w:rsid w:val="00631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15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15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15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1592"/>
    <w:pPr>
      <w:spacing w:before="160"/>
      <w:jc w:val="center"/>
    </w:pPr>
    <w:rPr>
      <w:i/>
      <w:iCs/>
      <w:color w:val="404040" w:themeColor="text1" w:themeTint="BF"/>
    </w:rPr>
  </w:style>
  <w:style w:type="character" w:customStyle="1" w:styleId="CitaCar">
    <w:name w:val="Cita Car"/>
    <w:basedOn w:val="Fuentedeprrafopredeter"/>
    <w:link w:val="Cita"/>
    <w:uiPriority w:val="29"/>
    <w:rsid w:val="00631592"/>
    <w:rPr>
      <w:i/>
      <w:iCs/>
      <w:color w:val="404040" w:themeColor="text1" w:themeTint="BF"/>
    </w:rPr>
  </w:style>
  <w:style w:type="paragraph" w:styleId="Prrafodelista">
    <w:name w:val="List Paragraph"/>
    <w:basedOn w:val="Normal"/>
    <w:uiPriority w:val="34"/>
    <w:qFormat/>
    <w:rsid w:val="00631592"/>
    <w:pPr>
      <w:ind w:left="720"/>
      <w:contextualSpacing/>
    </w:pPr>
  </w:style>
  <w:style w:type="character" w:styleId="nfasisintenso">
    <w:name w:val="Intense Emphasis"/>
    <w:basedOn w:val="Fuentedeprrafopredeter"/>
    <w:uiPriority w:val="21"/>
    <w:qFormat/>
    <w:rsid w:val="00631592"/>
    <w:rPr>
      <w:i/>
      <w:iCs/>
      <w:color w:val="0F4761" w:themeColor="accent1" w:themeShade="BF"/>
    </w:rPr>
  </w:style>
  <w:style w:type="paragraph" w:styleId="Citadestacada">
    <w:name w:val="Intense Quote"/>
    <w:basedOn w:val="Normal"/>
    <w:next w:val="Normal"/>
    <w:link w:val="CitadestacadaCar"/>
    <w:uiPriority w:val="30"/>
    <w:qFormat/>
    <w:rsid w:val="00631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1592"/>
    <w:rPr>
      <w:i/>
      <w:iCs/>
      <w:color w:val="0F4761" w:themeColor="accent1" w:themeShade="BF"/>
    </w:rPr>
  </w:style>
  <w:style w:type="character" w:styleId="Referenciaintensa">
    <w:name w:val="Intense Reference"/>
    <w:basedOn w:val="Fuentedeprrafopredeter"/>
    <w:uiPriority w:val="32"/>
    <w:qFormat/>
    <w:rsid w:val="00631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1283</Words>
  <Characters>7062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cp:keywords/>
  <dc:description/>
  <cp:lastModifiedBy>Alfonso Olaya Abril</cp:lastModifiedBy>
  <cp:revision>2</cp:revision>
  <dcterms:created xsi:type="dcterms:W3CDTF">2025-10-12T10:50:00Z</dcterms:created>
  <dcterms:modified xsi:type="dcterms:W3CDTF">2025-10-12T10:50:00Z</dcterms:modified>
</cp:coreProperties>
</file>