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5B21B6"/>
          <w:sz w:val="56"/>
          <w:szCs w:val="56"/>
        </w:rPr>
        <w:t xml:space="preserve">JUSTIN LAMBERT</w:t>
      </w:r>
    </w:p>
    <w:p>
      <w:pPr>
        <w:spacing w:after="40"/>
        <w:jc w:val="center"/>
      </w:pPr>
      <w:r>
        <w:rPr>
          <w:color w:val="1F2937"/>
          <w:sz w:val="26"/>
          <w:szCs w:val="26"/>
        </w:rPr>
        <w:t xml:space="preserve">Founder, Chairman &amp; CEO — Junaco Group of Companies (Tanzania)</w:t>
      </w:r>
    </w:p>
    <w:p>
      <w:pPr>
        <w:spacing w:after="180"/>
        <w:jc w:val="center"/>
      </w:pPr>
      <w:r>
        <w:rPr>
          <w:i/>
          <w:iCs/>
          <w:color w:val="6B7280"/>
          <w:sz w:val="26"/>
          <w:szCs w:val="26"/>
        </w:rPr>
        <w:t xml:space="preserve">Profile &amp; Preliminary Due Diligence Notes</w:t>
      </w:r>
    </w:p>
    <w:p>
      <w:pPr>
        <w:spacing w:after="500"/>
        <w:jc w:val="center"/>
      </w:pPr>
      <w:r>
        <w:rPr>
          <w:i/>
          <w:iCs/>
          <w:color w:val="6B7280"/>
          <w:sz w:val="20"/>
          <w:szCs w:val="20"/>
        </w:rPr>
        <w:t xml:space="preserve">Revision 2 — expanded regional connected-companies map; litigation record verified</w:t>
      </w:r>
    </w:p>
    <w:p>
      <w:pPr>
        <w:spacing w:after="60"/>
        <w:jc w:val="center"/>
      </w:pPr>
      <w:r>
        <w:rPr>
          <w:color w:val="6B7280"/>
          <w:sz w:val="20"/>
          <w:szCs w:val="20"/>
        </w:rPr>
        <w:t xml:space="preserve">Prepared for Urbanus Musinga — Kenya Resolution Partners</w:t>
      </w:r>
    </w:p>
    <w:p>
      <w:pPr>
        <w:spacing w:after="800"/>
        <w:jc w:val="center"/>
      </w:pPr>
      <w:r>
        <w:rPr>
          <w:color w:val="6B7280"/>
          <w:sz w:val="20"/>
          <w:szCs w:val="20"/>
        </w:rPr>
        <w:t xml:space="preserve">August 7, 2026</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FEF3C7" w:color="auto" w:val="clear"/>
            <w:tcMar>
              <w:top w:type="dxa" w:w="200"/>
              <w:left w:type="dxa" w:w="260"/>
              <w:bottom w:type="dxa" w:w="200"/>
              <w:right w:type="dxa" w:w="260"/>
            </w:tcMar>
          </w:tcPr>
          <w:p>
            <w:pPr>
              <w:spacing w:after="100"/>
            </w:pPr>
            <w:r>
              <w:rPr>
                <w:b/>
                <w:bCs/>
                <w:color w:val="92400E"/>
                <w:sz w:val="22"/>
                <w:szCs w:val="22"/>
              </w:rPr>
              <w:t xml:space="preserve">How to read this document</w:t>
            </w:r>
          </w:p>
          <w:p>
            <w:pPr>
              <w:spacing w:after="80"/>
            </w:pPr>
            <w:r>
              <w:rPr>
                <w:color w:val="78350F"/>
                <w:sz w:val="20"/>
                <w:szCs w:val="20"/>
              </w:rPr>
              <w:t xml:space="preserve">Every substantive statement below carries one of three confidence markers.</w:t>
            </w:r>
          </w:p>
          <w:p>
            <w:pPr>
              <w:spacing w:after="80"/>
            </w:pPr>
            <w:r>
              <w:rPr>
                <w:b/>
                <w:bCs/>
                <w:color w:val="166534"/>
                <w:sz w:val="20"/>
                <w:szCs w:val="20"/>
              </w:rPr>
              <w:t xml:space="preserve">[VERIFIED]  </w:t>
            </w:r>
            <w:r>
              <w:rPr>
                <w:color w:val="78350F"/>
                <w:sz w:val="20"/>
                <w:szCs w:val="20"/>
              </w:rPr>
              <w:t xml:space="preserve">— corroborated against a named, checkable third-party source: company websites, Devex, LinkedIn, national law reports, trade and financial press.</w:t>
            </w:r>
          </w:p>
          <w:p>
            <w:pPr>
              <w:spacing w:after="80"/>
            </w:pPr>
            <w:r>
              <w:rPr>
                <w:b/>
                <w:bCs/>
                <w:color w:val="B45309"/>
                <w:sz w:val="20"/>
                <w:szCs w:val="20"/>
              </w:rPr>
              <w:t xml:space="preserve">[PARTIALLY VERIFIED]  </w:t>
            </w:r>
            <w:r>
              <w:rPr>
                <w:color w:val="78350F"/>
                <w:sz w:val="20"/>
                <w:szCs w:val="20"/>
              </w:rPr>
              <w:t xml:space="preserve">— the item's existence is confirmed by a named authoritative source (typically a court's own case index or a corporate registry aggregator), but the full underlying document could not be retrieved. The citation is reliable; the substance rests on the index entry and published summary.</w:t>
            </w:r>
          </w:p>
          <w:p>
            <w:pPr>
              <w:spacing w:after="80"/>
            </w:pPr>
            <w:r>
              <w:rPr>
                <w:b/>
                <w:bCs/>
                <w:color w:val="B91C1C"/>
                <w:sz w:val="20"/>
                <w:szCs w:val="20"/>
              </w:rPr>
              <w:t xml:space="preserve">[UNVERIFIED — reported]  </w:t>
            </w:r>
            <w:r>
              <w:rPr>
                <w:color w:val="78350F"/>
                <w:sz w:val="20"/>
                <w:szCs w:val="20"/>
              </w:rPr>
              <w:t xml:space="preserve">— supplied from an external profile with no retrievable source and not corroborated. A lead requiring confirmation, not a fact.</w:t>
            </w:r>
          </w:p>
          <w:p>
            <w:pPr>
              <w:spacing w:after="80"/>
            </w:pPr>
            <w:r>
              <w:rPr>
                <w:b/>
                <w:bCs/>
                <w:color w:val="78350F"/>
                <w:sz w:val="20"/>
                <w:szCs w:val="20"/>
              </w:rPr>
              <w:t xml:space="preserve">Access note. </w:t>
            </w:r>
            <w:r>
              <w:rPr>
                <w:color w:val="78350F"/>
                <w:sz w:val="20"/>
                <w:szCs w:val="20"/>
              </w:rPr>
              <w:t xml:space="preserve">Direct page retrieval from several primary sources — junacogroup.com, Devex, TanzLII, ULII — was blocked by the network policy applied to this session. Findings therefore rest on those sources' indexed content and published summaries rather than on full-text reading. Each citation names its source precisely so it can be re-pulled directly by counsel or an analyst without that restriction.</w:t>
            </w:r>
          </w:p>
          <w:p>
            <w:r>
              <w:rPr>
                <w:i/>
                <w:iCs/>
                <w:color w:val="78350F"/>
                <w:sz w:val="20"/>
                <w:szCs w:val="20"/>
              </w:rPr>
              <w:t xml:space="preserve">Do not rely on unverified items for a transaction, credit, or investment decision without confirming them against primary sources (BRELA registry, court registries, audited accounts, bank references).</w:t>
            </w:r>
          </w:p>
        </w:tc>
      </w:tr>
    </w:tbl>
    <w:p>
      <w:r>
        <w:br w:type="page"/>
      </w:r>
    </w:p>
    <w:p>
      <w:pPr>
        <w:pStyle w:val="Heading1"/>
        <w:spacing w:after="160" w:before="360"/>
      </w:pPr>
      <w:r>
        <w:t xml:space="preserve">1. Executive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Mar>
              <w:top w:type="dxa" w:w="100"/>
              <w:left w:type="dxa" w:w="120"/>
              <w:bottom w:type="dxa" w:w="100"/>
              <w:right w:type="dxa" w:w="120"/>
            </w:tcMar>
          </w:tcPr>
          <w:p>
            <w:r>
              <w:rPr>
                <w:sz w:val="20"/>
                <w:szCs w:val="20"/>
              </w:rPr>
              <w:t xml:space="preserve">Name</w:t>
            </w:r>
          </w:p>
        </w:tc>
        <w:tc>
          <w:tcPr>
            <w:tcW w:type="dxa" w:w="6500"/>
            <w:tcMar>
              <w:top w:type="dxa" w:w="100"/>
              <w:left w:type="dxa" w:w="120"/>
              <w:bottom w:type="dxa" w:w="100"/>
              <w:right w:type="dxa" w:w="120"/>
            </w:tcMar>
          </w:tcPr>
          <w:p>
            <w:r>
              <w:rPr>
                <w:sz w:val="20"/>
                <w:szCs w:val="20"/>
              </w:rPr>
              <w:t xml:space="preserve">Justin Lambert</w:t>
            </w:r>
          </w:p>
        </w:tc>
      </w:tr>
      <w:tr>
        <w:tc>
          <w:tcPr>
            <w:tcW w:type="dxa" w:w="3000"/>
            <w:tcMar>
              <w:top w:type="dxa" w:w="100"/>
              <w:left w:type="dxa" w:w="120"/>
              <w:bottom w:type="dxa" w:w="100"/>
              <w:right w:type="dxa" w:w="120"/>
            </w:tcMar>
          </w:tcPr>
          <w:p>
            <w:r>
              <w:rPr>
                <w:sz w:val="20"/>
                <w:szCs w:val="20"/>
              </w:rPr>
              <w:t xml:space="preserve">Also recorded as</w:t>
            </w:r>
          </w:p>
        </w:tc>
        <w:tc>
          <w:tcPr>
            <w:tcW w:type="dxa" w:w="6500"/>
            <w:tcMar>
              <w:top w:type="dxa" w:w="100"/>
              <w:left w:type="dxa" w:w="120"/>
              <w:bottom w:type="dxa" w:w="100"/>
              <w:right w:type="dxa" w:w="120"/>
            </w:tcMar>
          </w:tcPr>
          <w:p>
            <w:r>
              <w:rPr>
                <w:sz w:val="20"/>
                <w:szCs w:val="20"/>
              </w:rPr>
              <w:t xml:space="preserve">"Justinian Lambert" — the form used in Ugandan court records, where he appears as second applicant alongside Junaco (T) Limited.</w:t>
            </w:r>
            <w:r>
              <w:rPr>
                <w:b/>
                <w:bCs/>
                <w:color w:val="166534"/>
                <w:sz w:val="18"/>
                <w:szCs w:val="18"/>
              </w:rPr>
              <w:t xml:space="preserve">  [VERIFIED]</w:t>
            </w:r>
          </w:p>
        </w:tc>
      </w:tr>
      <w:tr>
        <w:tc>
          <w:tcPr>
            <w:tcW w:type="dxa" w:w="3000"/>
            <w:tcMar>
              <w:top w:type="dxa" w:w="100"/>
              <w:left w:type="dxa" w:w="120"/>
              <w:bottom w:type="dxa" w:w="100"/>
              <w:right w:type="dxa" w:w="120"/>
            </w:tcMar>
          </w:tcPr>
          <w:p>
            <w:r>
              <w:rPr>
                <w:sz w:val="20"/>
                <w:szCs w:val="20"/>
              </w:rPr>
              <w:t xml:space="preserve">Position</w:t>
            </w:r>
          </w:p>
        </w:tc>
        <w:tc>
          <w:tcPr>
            <w:tcW w:type="dxa" w:w="6500"/>
            <w:tcMar>
              <w:top w:type="dxa" w:w="100"/>
              <w:left w:type="dxa" w:w="120"/>
              <w:bottom w:type="dxa" w:w="100"/>
              <w:right w:type="dxa" w:w="120"/>
            </w:tcMar>
          </w:tcPr>
          <w:p>
            <w:r>
              <w:rPr>
                <w:sz w:val="20"/>
                <w:szCs w:val="20"/>
              </w:rPr>
              <w:t xml:space="preserve">Founder, Chairman &amp; Group Chief Executive Officer, Junaco Group of Companies; Managing Director, Junaco (T) Ltd</w:t>
            </w:r>
          </w:p>
        </w:tc>
      </w:tr>
      <w:tr>
        <w:tc>
          <w:tcPr>
            <w:tcW w:type="dxa" w:w="3000"/>
            <w:tcMar>
              <w:top w:type="dxa" w:w="100"/>
              <w:left w:type="dxa" w:w="120"/>
              <w:bottom w:type="dxa" w:w="100"/>
              <w:right w:type="dxa" w:w="120"/>
            </w:tcMar>
          </w:tcPr>
          <w:p>
            <w:r>
              <w:rPr>
                <w:sz w:val="20"/>
                <w:szCs w:val="20"/>
              </w:rPr>
              <w:t xml:space="preserve">Country / base</w:t>
            </w:r>
          </w:p>
        </w:tc>
        <w:tc>
          <w:tcPr>
            <w:tcW w:type="dxa" w:w="6500"/>
            <w:tcMar>
              <w:top w:type="dxa" w:w="100"/>
              <w:left w:type="dxa" w:w="120"/>
              <w:bottom w:type="dxa" w:w="100"/>
              <w:right w:type="dxa" w:w="120"/>
            </w:tcMar>
          </w:tcPr>
          <w:p>
            <w:r>
              <w:rPr>
                <w:sz w:val="20"/>
                <w:szCs w:val="20"/>
              </w:rPr>
              <w:t xml:space="preserve">Tanzania — Dar es Salaam headquarters</w:t>
            </w:r>
          </w:p>
        </w:tc>
      </w:tr>
      <w:tr>
        <w:tc>
          <w:tcPr>
            <w:tcW w:type="dxa" w:w="3000"/>
            <w:tcMar>
              <w:top w:type="dxa" w:w="100"/>
              <w:left w:type="dxa" w:w="120"/>
              <w:bottom w:type="dxa" w:w="100"/>
              <w:right w:type="dxa" w:w="120"/>
            </w:tcMar>
          </w:tcPr>
          <w:p>
            <w:r>
              <w:rPr>
                <w:sz w:val="20"/>
                <w:szCs w:val="20"/>
              </w:rPr>
              <w:t xml:space="preserve">Founded</w:t>
            </w:r>
          </w:p>
        </w:tc>
        <w:tc>
          <w:tcPr>
            <w:tcW w:type="dxa" w:w="6500"/>
            <w:tcMar>
              <w:top w:type="dxa" w:w="100"/>
              <w:left w:type="dxa" w:w="120"/>
              <w:bottom w:type="dxa" w:w="100"/>
              <w:right w:type="dxa" w:w="120"/>
            </w:tcMar>
          </w:tcPr>
          <w:p>
            <w:r>
              <w:rPr>
                <w:sz w:val="20"/>
                <w:szCs w:val="20"/>
              </w:rPr>
              <w:t xml:space="preserve">Junaco (T) Ltd, 2000; Junaco Group of Companies Ltd (holding company), 2016</w:t>
            </w:r>
          </w:p>
        </w:tc>
      </w:tr>
      <w:tr>
        <w:tc>
          <w:tcPr>
            <w:tcW w:type="dxa" w:w="3000"/>
            <w:tcMar>
              <w:top w:type="dxa" w:w="100"/>
              <w:left w:type="dxa" w:w="120"/>
              <w:bottom w:type="dxa" w:w="100"/>
              <w:right w:type="dxa" w:w="120"/>
            </w:tcMar>
          </w:tcPr>
          <w:p>
            <w:r>
              <w:rPr>
                <w:sz w:val="20"/>
                <w:szCs w:val="20"/>
              </w:rPr>
              <w:t xml:space="preserve">Primary sector</w:t>
            </w:r>
          </w:p>
        </w:tc>
        <w:tc>
          <w:tcPr>
            <w:tcW w:type="dxa" w:w="6500"/>
            <w:tcMar>
              <w:top w:type="dxa" w:w="100"/>
              <w:left w:type="dxa" w:w="120"/>
              <w:bottom w:type="dxa" w:w="100"/>
              <w:right w:type="dxa" w:w="120"/>
            </w:tcMar>
          </w:tcPr>
          <w:p>
            <w:r>
              <w:rPr>
                <w:sz w:val="20"/>
                <w:szCs w:val="20"/>
              </w:rPr>
              <w:t xml:space="preserve">Water infrastructure, industrial chemicals, engineering, utilities supply</w:t>
            </w:r>
          </w:p>
        </w:tc>
      </w:tr>
      <w:tr>
        <w:tc>
          <w:tcPr>
            <w:tcW w:type="dxa" w:w="3000"/>
            <w:tcMar>
              <w:top w:type="dxa" w:w="100"/>
              <w:left w:type="dxa" w:w="120"/>
              <w:bottom w:type="dxa" w:w="100"/>
              <w:right w:type="dxa" w:w="120"/>
            </w:tcMar>
          </w:tcPr>
          <w:p>
            <w:r>
              <w:rPr>
                <w:sz w:val="20"/>
                <w:szCs w:val="20"/>
              </w:rPr>
              <w:t xml:space="preserve">Regional footprint</w:t>
            </w:r>
          </w:p>
        </w:tc>
        <w:tc>
          <w:tcPr>
            <w:tcW w:type="dxa" w:w="6500"/>
            <w:tcMar>
              <w:top w:type="dxa" w:w="100"/>
              <w:left w:type="dxa" w:w="120"/>
              <w:bottom w:type="dxa" w:w="100"/>
              <w:right w:type="dxa" w:w="120"/>
            </w:tcMar>
          </w:tcPr>
          <w:p>
            <w:r>
              <w:rPr>
                <w:sz w:val="20"/>
                <w:szCs w:val="20"/>
              </w:rPr>
              <w:t xml:space="preserve">Tanzania, Kenya, Uganda, DRC, South Africa, UAE (Dubai); logistics transit reach into Malawi, Zambia, Rwanda and Burundi</w:t>
            </w:r>
          </w:p>
        </w:tc>
      </w:tr>
      <w:tr>
        <w:tc>
          <w:tcPr>
            <w:tcW w:type="dxa" w:w="3000"/>
            <w:tcMar>
              <w:top w:type="dxa" w:w="100"/>
              <w:left w:type="dxa" w:w="120"/>
              <w:bottom w:type="dxa" w:w="100"/>
              <w:right w:type="dxa" w:w="120"/>
            </w:tcMar>
          </w:tcPr>
          <w:p>
            <w:r>
              <w:rPr>
                <w:sz w:val="20"/>
                <w:szCs w:val="20"/>
              </w:rPr>
              <w:t xml:space="preserve">Connected entities mapped</w:t>
            </w:r>
          </w:p>
        </w:tc>
        <w:tc>
          <w:tcPr>
            <w:tcW w:type="dxa" w:w="6500"/>
            <w:tcMar>
              <w:top w:type="dxa" w:w="100"/>
              <w:left w:type="dxa" w:w="120"/>
              <w:bottom w:type="dxa" w:w="100"/>
              <w:right w:type="dxa" w:w="120"/>
            </w:tcMar>
          </w:tcPr>
          <w:p>
            <w:r>
              <w:rPr>
                <w:sz w:val="20"/>
                <w:szCs w:val="20"/>
              </w:rPr>
              <w:t xml:space="preserve">22 corporate entities and 3 natural persons across 8 jurisdictions — see Section 3</w:t>
            </w:r>
          </w:p>
        </w:tc>
      </w:tr>
      <w:tr>
        <w:tc>
          <w:tcPr>
            <w:tcW w:type="dxa" w:w="3000"/>
            <w:tcMar>
              <w:top w:type="dxa" w:w="100"/>
              <w:left w:type="dxa" w:w="120"/>
              <w:bottom w:type="dxa" w:w="100"/>
              <w:right w:type="dxa" w:w="120"/>
            </w:tcMar>
          </w:tcPr>
          <w:p>
            <w:r>
              <w:rPr>
                <w:sz w:val="20"/>
                <w:szCs w:val="20"/>
              </w:rPr>
              <w:t xml:space="preserve">Institutional customers</w:t>
            </w:r>
          </w:p>
        </w:tc>
        <w:tc>
          <w:tcPr>
            <w:tcW w:type="dxa" w:w="6500"/>
            <w:tcMar>
              <w:top w:type="dxa" w:w="100"/>
              <w:left w:type="dxa" w:w="120"/>
              <w:bottom w:type="dxa" w:w="100"/>
              <w:right w:type="dxa" w:w="120"/>
            </w:tcMar>
          </w:tcPr>
          <w:p>
            <w:r>
              <w:rPr>
                <w:sz w:val="20"/>
                <w:szCs w:val="20"/>
              </w:rPr>
              <w:t xml:space="preserve">World Bank Group, JICA, African Development Bank; REGIDESO (DRC); National Water &amp; Sewerage Corporation (Uganda)</w:t>
            </w:r>
          </w:p>
        </w:tc>
      </w:tr>
      <w:tr>
        <w:tc>
          <w:tcPr>
            <w:tcW w:type="dxa" w:w="3000"/>
            <w:tcMar>
              <w:top w:type="dxa" w:w="100"/>
              <w:left w:type="dxa" w:w="120"/>
              <w:bottom w:type="dxa" w:w="100"/>
              <w:right w:type="dxa" w:w="120"/>
            </w:tcMar>
          </w:tcPr>
          <w:p>
            <w:r>
              <w:rPr>
                <w:sz w:val="20"/>
                <w:szCs w:val="20"/>
              </w:rPr>
              <w:t xml:space="preserve">Confirmed litigation</w:t>
            </w:r>
          </w:p>
        </w:tc>
        <w:tc>
          <w:tcPr>
            <w:tcW w:type="dxa" w:w="6500"/>
            <w:tcMar>
              <w:top w:type="dxa" w:w="100"/>
              <w:left w:type="dxa" w:w="120"/>
              <w:bottom w:type="dxa" w:w="100"/>
              <w:right w:type="dxa" w:w="120"/>
            </w:tcMar>
          </w:tcPr>
          <w:p>
            <w:r>
              <w:rPr>
                <w:sz w:val="20"/>
                <w:szCs w:val="20"/>
              </w:rPr>
              <w:t xml:space="preserve">Five reported proceedings across two jurisdictions (Tanzania, Uganda). Lambert is a named party personally in at least four of them — see Section 4</w:t>
            </w:r>
          </w:p>
        </w:tc>
      </w:tr>
      <w:tr>
        <w:tc>
          <w:tcPr>
            <w:tcW w:type="dxa" w:w="3000"/>
            <w:tcMar>
              <w:top w:type="dxa" w:w="100"/>
              <w:left w:type="dxa" w:w="120"/>
              <w:bottom w:type="dxa" w:w="100"/>
              <w:right w:type="dxa" w:w="120"/>
            </w:tcMar>
          </w:tcPr>
          <w:p>
            <w:r>
              <w:rPr>
                <w:sz w:val="20"/>
                <w:szCs w:val="20"/>
              </w:rPr>
              <w:t xml:space="preserve">Largest quantified claim</w:t>
            </w:r>
          </w:p>
        </w:tc>
        <w:tc>
          <w:tcPr>
            <w:tcW w:type="dxa" w:w="6500"/>
            <w:tcMar>
              <w:top w:type="dxa" w:w="100"/>
              <w:left w:type="dxa" w:w="120"/>
              <w:bottom w:type="dxa" w:w="100"/>
              <w:right w:type="dxa" w:w="120"/>
            </w:tcMar>
          </w:tcPr>
          <w:p>
            <w:r>
              <w:rPr>
                <w:sz w:val="20"/>
                <w:szCs w:val="20"/>
              </w:rPr>
              <w:t xml:space="preserve">UGX 12.8 billion (indicatively c. US$3.4m) claimed by DFCU Bank Limited in Uganda; stay of execution refused at first instance and again on appeal in 2023</w:t>
            </w:r>
          </w:p>
        </w:tc>
      </w:tr>
      <w:tr>
        <w:tc>
          <w:tcPr>
            <w:tcW w:type="dxa" w:w="3000"/>
            <w:tcMar>
              <w:top w:type="dxa" w:w="100"/>
              <w:left w:type="dxa" w:w="120"/>
              <w:bottom w:type="dxa" w:w="100"/>
              <w:right w:type="dxa" w:w="120"/>
            </w:tcMar>
          </w:tcPr>
          <w:p>
            <w:r>
              <w:rPr>
                <w:sz w:val="20"/>
                <w:szCs w:val="20"/>
              </w:rPr>
              <w:t xml:space="preserve">Principal open question</w:t>
            </w:r>
          </w:p>
        </w:tc>
        <w:tc>
          <w:tcPr>
            <w:tcW w:type="dxa" w:w="6500"/>
            <w:tcMar>
              <w:top w:type="dxa" w:w="100"/>
              <w:left w:type="dxa" w:w="120"/>
              <w:bottom w:type="dxa" w:w="100"/>
              <w:right w:type="dxa" w:w="120"/>
            </w:tcMar>
          </w:tcPr>
          <w:p>
            <w:r>
              <w:rPr>
                <w:sz w:val="20"/>
                <w:szCs w:val="20"/>
              </w:rPr>
              <w:t xml:space="preserve">No audited financial statements are obtainable from any public source. Leverage and solvency remain unassessed.</w:t>
            </w:r>
          </w:p>
        </w:tc>
      </w:tr>
    </w:tbl>
    <w:p>
      <w:pPr>
        <w:spacing w:after="120"/>
      </w:pPr>
    </w:p>
    <w:p>
      <w:pPr>
        <w:spacing w:after="160"/>
      </w:pPr>
      <w:r>
        <w:t xml:space="preserve">Justin Lambert is the founder and controlling executive of Junaco Group, a Tanzanian-origin conglomerate that has grown over roughly 25 years from a seafood and firefighting-equipment trading business into a diversified regional group spanning water infrastructure, industrial chemicals, logistics, agriculture, insurance and renewable energy, with operating subsidiaries across East, Central and Southern Africa and a Dubai trading entity. The group's confirmed multilateral contract history — seven recorded awards from the World Bank Group, JICA and the African Development Bank — establishes a credentialed public-procurement supplier relationship that is unusual for a private group of this size, and it overlaps closely with KRP's and Gaitech's existing Kenya, Uganda, DRC and UAE geography.</w:t>
      </w:r>
    </w:p>
    <w:p>
      <w:pPr>
        <w:spacing w:after="160"/>
      </w:pPr>
      <w:r>
        <w:t xml:space="preserve">The material change in this revision is on the litigation and credit side. Claims that the previous draft could only record as unverified user-supplied assertions are now substantiated from national law reports. Junaco (T) Limited and Lambert personally have been parties to reported proceedings against Harel Mallac (Tanzania) Ltd (running from 2014 to a 2018 Court of Appeal decision and 2022 execution proceedings), against Equity Bank (Tanzania) Limited in the Land Division in 2022, and — not identified at all in the previous draft — against DFCU Bank Limited in Uganda, where the bank sued to recover approximately UGX 12.8 billion arising from three credit facilities extended to fund a water-meter supply contract with Uganda's National Water and Sewerage Corporation. Applications to stay execution were refused by the Commercial Court in February 2023 and by the Court of Appeal in May 2023.</w:t>
      </w:r>
    </w:p>
    <w:p>
      <w:pPr>
        <w:spacing w:after="160"/>
      </w:pPr>
      <w:r>
        <w:t xml:space="preserve">Separately, the group's flagship industrial project — the 45 tonne-per-day chlor-alkali plant at Msufini — appears to have slipped materially. Construction was announced as beginning in 2018 with thyssenkrupp equipment and a Malaysian joint-venture partner; that partner, Serba Dinamik Holdings Bhd, was subsequently delisted and placed in liquidation following a major accounting scandal, and in June 2026 a fresh turnkey EPC contract for the same 45 tpd plant on the same site was awarded to a different contractor, with commissioning now targeted for January 2027. Section 3.4 sets out what this does and does not tell us.</w:t>
      </w:r>
    </w:p>
    <w:p>
      <w:pPr>
        <w:spacing w:after="12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EFF6FF" w:color="auto" w:val="clear"/>
            <w:tcMar>
              <w:top w:type="dxa" w:w="200"/>
              <w:left w:type="dxa" w:w="260"/>
              <w:bottom w:type="dxa" w:w="200"/>
              <w:right w:type="dxa" w:w="260"/>
            </w:tcMar>
          </w:tcPr>
          <w:p>
            <w:pPr>
              <w:spacing w:after="100"/>
            </w:pPr>
            <w:r>
              <w:rPr>
                <w:b/>
                <w:bCs/>
                <w:color w:val="1E40AF"/>
                <w:sz w:val="22"/>
                <w:szCs w:val="22"/>
              </w:rPr>
              <w:t xml:space="preserve">What changed in this revision</w:t>
            </w:r>
          </w:p>
          <w:p>
            <w:pPr>
              <w:spacing w:after="80"/>
            </w:pPr>
            <w:r>
              <w:rPr>
                <w:color w:val="1E3A8A"/>
                <w:sz w:val="20"/>
                <w:szCs w:val="20"/>
              </w:rPr>
              <w:t xml:space="preserve">•  Section 3 is new: a full map of connected companies, joint ventures, financing counterparties, customers and connected persons across the region, with jurisdiction, date and confidence marker for each.</w:t>
            </w:r>
          </w:p>
          <w:p>
            <w:pPr>
              <w:spacing w:after="80"/>
            </w:pPr>
            <w:r>
              <w:rPr>
                <w:color w:val="1E3A8A"/>
                <w:sz w:val="20"/>
                <w:szCs w:val="20"/>
              </w:rPr>
              <w:t xml:space="preserve">•  The unidentified Court of Appeal citation in the previous Section 3 is now identified: the counterparty is Harel Mallac (Tanzania) Ltd, and the case is Misc. Civil Application No. 473 of 2016, [2018] TZCA 290.</w:t>
            </w:r>
          </w:p>
          <w:p>
            <w:pPr>
              <w:spacing w:after="80"/>
            </w:pPr>
            <w:r>
              <w:rPr>
                <w:color w:val="1E3A8A"/>
                <w:sz w:val="20"/>
                <w:szCs w:val="20"/>
              </w:rPr>
              <w:t xml:space="preserve">•  The reported Equity Bank and Harel Mallac litigation has moved from unverified to partially verified against Tanzanian law reports; a previously unknown Ugandan banking action (DFCU Bank) has been added.</w:t>
            </w:r>
          </w:p>
          <w:p>
            <w:pPr>
              <w:spacing w:after="80"/>
            </w:pPr>
            <w:r>
              <w:rPr>
                <w:color w:val="1E3A8A"/>
                <w:sz w:val="20"/>
                <w:szCs w:val="20"/>
              </w:rPr>
              <w:t xml:space="preserve">•  "Justinian Lambert" is no longer an unverified alternative spelling: it is the form used for him in Ugandan court records.</w:t>
            </w:r>
          </w:p>
          <w:p>
            <w:r>
              <w:rPr>
                <w:color w:val="1E3A8A"/>
                <w:sz w:val="20"/>
                <w:szCs w:val="20"/>
              </w:rPr>
              <w:t xml:space="preserve">•  The risk matrix has been re-rated accordingly — litigation and financial leverage move off "Unrated".</w:t>
            </w:r>
          </w:p>
        </w:tc>
      </w:tr>
    </w:tbl>
    <w:p>
      <w:pPr>
        <w:pStyle w:val="Heading1"/>
        <w:spacing w:after="160" w:before="360"/>
      </w:pPr>
      <w:r>
        <w:t xml:space="preserve">2. Corporate &amp; Professional Background — Verified</w:t>
      </w:r>
    </w:p>
    <w:p>
      <w:pPr>
        <w:pStyle w:val="Heading2"/>
        <w:keepNext/>
        <w:spacing w:after="120" w:before="260"/>
      </w:pPr>
      <w:r>
        <w:t xml:space="preserve">2.1 Founding and evolution</w:t>
      </w:r>
    </w:p>
    <w:p>
      <w:pPr>
        <w:pStyle w:val="ListParagraph"/>
        <w:numPr>
          <w:ilvl w:val="0"/>
          <w:numId w:val="1"/>
        </w:numPr>
        <w:spacing w:after="80"/>
      </w:pPr>
      <w:r>
        <w:t xml:space="preserve">Founded Junaco (T) Ltd in 2000, initially exporting seafood to South Africa, Mauritius, the Netherlands, Malawi and Zambia, and importing firefighting equipment installed at Tanzania's Ministry of Finance and Accountant General's office.</w:t>
      </w:r>
    </w:p>
    <w:p>
      <w:pPr>
        <w:pStyle w:val="ListParagraph"/>
        <w:numPr>
          <w:ilvl w:val="0"/>
          <w:numId w:val="1"/>
        </w:numPr>
        <w:spacing w:after="80"/>
      </w:pPr>
      <w:r>
        <w:t xml:space="preserve">In 2002, the company pivoted into water solutions — the business line that remains the Group's flagship today.</w:t>
      </w:r>
    </w:p>
    <w:p>
      <w:pPr>
        <w:pStyle w:val="ListParagraph"/>
        <w:numPr>
          <w:ilvl w:val="0"/>
          <w:numId w:val="1"/>
        </w:numPr>
        <w:spacing w:after="80"/>
      </w:pPr>
      <w:r>
        <w:t xml:space="preserve">Junaco Group of Companies Ltd was incorporated in 2016 as the holding company providing corporate strategic leadership over the operating subsidiaries.</w:t>
      </w:r>
    </w:p>
    <w:p>
      <w:pPr>
        <w:spacing w:after="200"/>
      </w:pPr>
      <w:r>
        <w:rPr>
          <w:i/>
          <w:iCs/>
          <w:color w:val="6B7280"/>
          <w:sz w:val="18"/>
          <w:szCs w:val="18"/>
        </w:rPr>
        <w:t xml:space="preserve">Sources: Devex organization profile; junacogroup.com “About Us”; The Exchange Africa (Dec 2016).</w:t>
      </w:r>
    </w:p>
    <w:p>
      <w:pPr>
        <w:pStyle w:val="Heading2"/>
        <w:keepNext/>
        <w:spacing w:after="120" w:before="260"/>
      </w:pPr>
      <w:r>
        <w:t xml:space="preserve">2.2 Regional expansion</w:t>
      </w:r>
    </w:p>
    <w:p>
      <w:pPr>
        <w:pStyle w:val="ListParagraph"/>
        <w:numPr>
          <w:ilvl w:val="0"/>
          <w:numId w:val="1"/>
        </w:numPr>
        <w:spacing w:after="80"/>
      </w:pPr>
      <w:r>
        <w:t xml:space="preserve">Uganda — Junaco Uganda Limited (trading as Junaco (U) Limited), incorporated 2012</w:t>
      </w:r>
    </w:p>
    <w:p>
      <w:pPr>
        <w:pStyle w:val="ListParagraph"/>
        <w:numPr>
          <w:ilvl w:val="0"/>
          <w:numId w:val="1"/>
        </w:numPr>
        <w:spacing w:after="80"/>
      </w:pPr>
      <w:r>
        <w:t xml:space="preserve">Kenya — Junaco Trading Kenya Limited, incorporated 2014</w:t>
      </w:r>
    </w:p>
    <w:p>
      <w:pPr>
        <w:pStyle w:val="ListParagraph"/>
        <w:numPr>
          <w:ilvl w:val="0"/>
          <w:numId w:val="1"/>
        </w:numPr>
        <w:spacing w:after="80"/>
      </w:pPr>
      <w:r>
        <w:t xml:space="preserve">South Africa — Junaco Trading Enterprise S.A., incorporated 2014</w:t>
      </w:r>
    </w:p>
    <w:p>
      <w:pPr>
        <w:pStyle w:val="ListParagraph"/>
        <w:numPr>
          <w:ilvl w:val="0"/>
          <w:numId w:val="1"/>
        </w:numPr>
        <w:spacing w:after="80"/>
      </w:pPr>
      <w:r>
        <w:t xml:space="preserve">DRC — Junaco RDC Limited, incorporated 2015</w:t>
      </w:r>
    </w:p>
    <w:p>
      <w:pPr>
        <w:pStyle w:val="ListParagraph"/>
        <w:numPr>
          <w:ilvl w:val="0"/>
          <w:numId w:val="1"/>
        </w:numPr>
        <w:spacing w:after="80"/>
      </w:pPr>
      <w:r>
        <w:t xml:space="preserve">UAE (Dubai) — Junaco General Trading LLC, incorporated 2016</w:t>
      </w:r>
    </w:p>
    <w:p>
      <w:pPr>
        <w:pStyle w:val="ListParagraph"/>
        <w:numPr>
          <w:ilvl w:val="0"/>
          <w:numId w:val="1"/>
        </w:numPr>
        <w:spacing w:after="80"/>
      </w:pPr>
      <w:r>
        <w:t xml:space="preserve">Junaco Group of Companies Ltd incorporated 2016 as the holding company over these operating subsidiaries.</w:t>
      </w:r>
    </w:p>
    <w:p>
      <w:pPr>
        <w:spacing w:after="140"/>
      </w:pPr>
      <w:r>
        <w:rPr>
          <w:color w:val="1F2937"/>
          <w:sz w:val="20"/>
          <w:szCs w:val="20"/>
        </w:rPr>
        <w:t xml:space="preserve">Note: group marketing material published in 2017 describes Junaco as comprising affiliates in “Uganda, Zambia, Tanzania and DRC Congo.” No separately named or registered Zambian entity has been located, and Zambia does not appear in the group's own incorporation history. The Zambian reference may denote a branch, a sales presence, or the transit logistics reach described at 3.3 — it should be resolved on the registry.</w:t>
      </w:r>
    </w:p>
    <w:p>
      <w:pPr>
        <w:spacing w:after="200"/>
      </w:pPr>
      <w:r>
        <w:rPr>
          <w:i/>
          <w:iCs/>
          <w:color w:val="6B7280"/>
          <w:sz w:val="18"/>
          <w:szCs w:val="18"/>
        </w:rPr>
        <w:t xml:space="preserve">Sources: Devex organization profile (junacogroup.com company background); Construction Review Online, “Junaco Trading Kenya Limited; Water Solutions Provider” (June 2017).</w:t>
      </w:r>
    </w:p>
    <w:p>
      <w:pPr>
        <w:pStyle w:val="Heading2"/>
        <w:keepNext/>
        <w:spacing w:after="120" w:before="260"/>
      </w:pPr>
      <w:r>
        <w:t xml:space="preserve">2.3 Offices</w:t>
      </w:r>
    </w:p>
    <w:p>
      <w:pPr>
        <w:pStyle w:val="ListParagraph"/>
        <w:numPr>
          <w:ilvl w:val="0"/>
          <w:numId w:val="1"/>
        </w:numPr>
        <w:spacing w:after="80"/>
      </w:pPr>
      <w:r>
        <w:t xml:space="preserve">Tanzania (HQ) — Dar es Salaam, Samora/Azikiwe Street, IPS Building, 8th Floor. The group also trades under the “Maji House” identity in Dar es Salaam.</w:t>
      </w:r>
    </w:p>
    <w:p>
      <w:pPr>
        <w:pStyle w:val="ListParagraph"/>
        <w:numPr>
          <w:ilvl w:val="0"/>
          <w:numId w:val="1"/>
        </w:numPr>
        <w:spacing w:after="80"/>
      </w:pPr>
      <w:r>
        <w:t xml:space="preserve">Kenya — Nairobi, The Green House, Ngong Road. Devex records “Suite 2”; the 2017 Construction Review profile records “2nd floor, Suite No. 5, Adams Arcade.” The discrepancy is minor but should be settled against the Kenyan registry filing.</w:t>
      </w:r>
    </w:p>
    <w:p>
      <w:pPr>
        <w:pStyle w:val="ListParagraph"/>
        <w:numPr>
          <w:ilvl w:val="0"/>
          <w:numId w:val="1"/>
        </w:numPr>
        <w:spacing w:after="80"/>
      </w:pPr>
      <w:r>
        <w:t xml:space="preserve">Uganda — Kampala, KAM Industrial Area, 7th Industrial Area, Kampala Central Division.</w:t>
      </w:r>
    </w:p>
    <w:p>
      <w:pPr>
        <w:pStyle w:val="ListParagraph"/>
        <w:numPr>
          <w:ilvl w:val="0"/>
          <w:numId w:val="1"/>
        </w:numPr>
        <w:spacing w:after="80"/>
      </w:pPr>
      <w:r>
        <w:t xml:space="preserve">UAE — Business Avenue Building, Al Ittihad Road, Port Saeed, Deira, Dubai.</w:t>
      </w:r>
    </w:p>
    <w:p>
      <w:pPr>
        <w:spacing w:after="200"/>
      </w:pPr>
      <w:r>
        <w:rPr>
          <w:i/>
          <w:iCs/>
          <w:color w:val="6B7280"/>
          <w:sz w:val="18"/>
          <w:szCs w:val="18"/>
        </w:rPr>
        <w:t xml:space="preserve">Sources: Devex organization profile; Construction Review Online (2017); Volza trade-data company record; UAE trade directories.</w:t>
      </w:r>
    </w:p>
    <w:p>
      <w:pPr>
        <w:pStyle w:val="Heading2"/>
        <w:keepNext/>
        <w:spacing w:after="120" w:before="260"/>
      </w:pPr>
      <w:r>
        <w:t xml:space="preserve">2.4 Business lines</w:t>
      </w:r>
    </w:p>
    <w:p>
      <w:pPr>
        <w:pStyle w:val="ListParagraph"/>
        <w:numPr>
          <w:ilvl w:val="0"/>
          <w:numId w:val="1"/>
        </w:numPr>
        <w:spacing w:after="80"/>
      </w:pPr>
      <w:r>
        <w:t xml:space="preserve">Water: treatment chemicals, treatment plants, water meters (pre-paid and post-paid, DN15–DN200), pipes/valves/fittings, pumps, manhole covers, wastewater management, municipal utility solutions</w:t>
      </w:r>
    </w:p>
    <w:p>
      <w:pPr>
        <w:pStyle w:val="ListParagraph"/>
        <w:numPr>
          <w:ilvl w:val="0"/>
          <w:numId w:val="1"/>
        </w:numPr>
        <w:spacing w:after="80"/>
      </w:pPr>
      <w:r>
        <w:t xml:space="preserve">Technology: automated storage &amp; retrieval, customer experience management, self-service kiosks, fire suppression (FirePro condensed-aerosol systems, launched 2016)</w:t>
      </w:r>
    </w:p>
    <w:p>
      <w:pPr>
        <w:pStyle w:val="ListParagraph"/>
        <w:numPr>
          <w:ilvl w:val="0"/>
          <w:numId w:val="1"/>
        </w:numPr>
        <w:spacing w:after="80"/>
      </w:pPr>
      <w:r>
        <w:t xml:space="preserve">Logistics: clearing &amp; forwarding, transportation (via Shift Cargo Limited, acquired 2015)</w:t>
      </w:r>
    </w:p>
    <w:p>
      <w:pPr>
        <w:pStyle w:val="ListParagraph"/>
        <w:numPr>
          <w:ilvl w:val="0"/>
          <w:numId w:val="1"/>
        </w:numPr>
        <w:spacing w:after="80"/>
      </w:pPr>
      <w:r>
        <w:t xml:space="preserve">Insurance: stake in Clarkson Insurance Brokers (T) Ltd, acquired 2016 — general, medical, life</w:t>
      </w:r>
    </w:p>
    <w:p>
      <w:pPr>
        <w:pStyle w:val="ListParagraph"/>
        <w:numPr>
          <w:ilvl w:val="0"/>
          <w:numId w:val="1"/>
        </w:numPr>
        <w:spacing w:after="80"/>
      </w:pPr>
      <w:r>
        <w:t xml:space="preserve">Agriculture: sisal plantations (Marungu Plantation Ltd, 4,600 hectares near Tanga, acquired 2013) and grain export/outgrower support</w:t>
      </w:r>
    </w:p>
    <w:p>
      <w:pPr>
        <w:pStyle w:val="ListParagraph"/>
        <w:numPr>
          <w:ilvl w:val="0"/>
          <w:numId w:val="1"/>
        </w:numPr>
        <w:spacing w:after="80"/>
      </w:pPr>
      <w:r>
        <w:t xml:space="preserve">Energy: solar power, solar water heaters, solar street lights, renewable energy projects</w:t>
      </w:r>
    </w:p>
    <w:p>
      <w:pPr>
        <w:pStyle w:val="ListParagraph"/>
        <w:numPr>
          <w:ilvl w:val="0"/>
          <w:numId w:val="1"/>
        </w:numPr>
        <w:spacing w:after="80"/>
      </w:pPr>
      <w:r>
        <w:t xml:space="preserve">Chemicals: a 45 tpd modular chlor-alkali (chlorine and caustic soda) plant at Msufini, Kibaha District, developed through a joint venture with Malaysia's Serba Dinamik Holdings — reported as the first such plant in Sub-Saharan Africa; construction began 2018. See 3.4 for current status.</w:t>
      </w:r>
    </w:p>
    <w:p>
      <w:pPr>
        <w:spacing w:after="200"/>
      </w:pPr>
      <w:r>
        <w:rPr>
          <w:i/>
          <w:iCs/>
          <w:color w:val="6B7280"/>
          <w:sz w:val="18"/>
          <w:szCs w:val="18"/>
        </w:rPr>
        <w:t xml:space="preserve">Sources: junacogroup.com; Devex; Mining.com (thyssenkrupp release, June 2018); CCE Online News (April 2018); FirePro partnership announcement; East Africa Tenders directory.</w:t>
      </w:r>
    </w:p>
    <w:p>
      <w:pPr>
        <w:pStyle w:val="Heading2"/>
        <w:keepNext/>
        <w:spacing w:after="120" w:before="260"/>
      </w:pPr>
      <w:r>
        <w:t xml:space="preserve">2.5 Institutional / multilateral contract history</w:t>
      </w:r>
    </w:p>
    <w:p>
      <w:pPr>
        <w:spacing w:after="100"/>
      </w:pPr>
      <w:r>
        <w:t xml:space="preserve">Devex records seven contract awards to JUNACO Group Ltd:</w:t>
      </w:r>
    </w:p>
    <w:p>
      <w:pPr>
        <w:pStyle w:val="ListParagraph"/>
        <w:numPr>
          <w:ilvl w:val="0"/>
          <w:numId w:val="1"/>
        </w:numPr>
        <w:spacing w:after="80"/>
      </w:pPr>
      <w:r>
        <w:t xml:space="preserve">Supply of PVC pipe fittings for network rehabilitation — World Bank Group</w:t>
      </w:r>
    </w:p>
    <w:p>
      <w:pPr>
        <w:pStyle w:val="ListParagraph"/>
        <w:numPr>
          <w:ilvl w:val="0"/>
          <w:numId w:val="1"/>
        </w:numPr>
        <w:spacing w:after="80"/>
      </w:pPr>
      <w:r>
        <w:t xml:space="preserve">Supply of water meters for water distribution — World Bank Group</w:t>
      </w:r>
    </w:p>
    <w:p>
      <w:pPr>
        <w:pStyle w:val="ListParagraph"/>
        <w:numPr>
          <w:ilvl w:val="0"/>
          <w:numId w:val="1"/>
        </w:numPr>
        <w:spacing w:after="80"/>
      </w:pPr>
      <w:r>
        <w:t xml:space="preserve">Procurement of water treatment chemicals — Japan International Cooperation Agency (JICA) (two separate awards)</w:t>
      </w:r>
    </w:p>
    <w:p>
      <w:pPr>
        <w:pStyle w:val="ListParagraph"/>
        <w:numPr>
          <w:ilvl w:val="0"/>
          <w:numId w:val="1"/>
        </w:numPr>
        <w:spacing w:after="80"/>
      </w:pPr>
      <w:r>
        <w:t xml:space="preserve">Supply of domestic water meters for utility modernization — World Bank Group</w:t>
      </w:r>
    </w:p>
    <w:p>
      <w:pPr>
        <w:pStyle w:val="ListParagraph"/>
        <w:numPr>
          <w:ilvl w:val="0"/>
          <w:numId w:val="1"/>
        </w:numPr>
        <w:spacing w:after="80"/>
      </w:pPr>
      <w:r>
        <w:t xml:space="preserve">Emergency supply of 70 tons of calcium hypochlorite to REGIDESO (DRC water utility), anti-coronavirus response — World Bank Group</w:t>
      </w:r>
    </w:p>
    <w:p>
      <w:pPr>
        <w:pStyle w:val="ListParagraph"/>
        <w:numPr>
          <w:ilvl w:val="0"/>
          <w:numId w:val="1"/>
        </w:numPr>
        <w:spacing w:after="80"/>
      </w:pPr>
      <w:r>
        <w:t xml:space="preserve">Supply of water meters — African Development Bank</w:t>
      </w:r>
    </w:p>
    <w:p>
      <w:pPr>
        <w:spacing w:after="140"/>
      </w:pPr>
      <w:r>
        <w:rPr>
          <w:sz w:val="20"/>
          <w:szCs w:val="20"/>
        </w:rPr>
        <w:t xml:space="preserve">A separate, larger utility contract is evidenced by the Ugandan litigation at 4.3: the credit facilities in dispute were extended specifically to enable performance of a contract to supply water meters to the National Water and Sewerage Corporation of Uganda.</w:t>
      </w:r>
    </w:p>
    <w:p>
      <w:pPr>
        <w:spacing w:after="200"/>
      </w:pPr>
      <w:r>
        <w:rPr>
          <w:i/>
          <w:iCs/>
          <w:color w:val="6B7280"/>
          <w:sz w:val="18"/>
          <w:szCs w:val="18"/>
        </w:rPr>
        <w:t xml:space="preserve">Sources: Devex organization profile, “Experience / Contract Awards”; Junaco (T) Limited and 2 Others v DFCU Bank Limited [2023] UGCommC 37.</w:t>
      </w:r>
    </w:p>
    <w:p>
      <w:pPr>
        <w:pStyle w:val="Heading2"/>
        <w:keepNext/>
        <w:spacing w:after="120" w:before="260"/>
      </w:pPr>
      <w:r>
        <w:t xml:space="preserve">2.6 Public profile</w:t>
      </w:r>
    </w:p>
    <w:p>
      <w:pPr>
        <w:spacing w:after="200"/>
      </w:pPr>
      <w:r>
        <w:t xml:space="preserve">Lambert keeps a low personal media profile relative to the company. Two distinct LinkedIn listings exist for him under Junaco (Junaco Group Ltd, and Junaco (T) Ltd as Managing Director), each with a small connection count. Most public information is company-sourced (junacogroup.com, Devex) or trade-press coverage of specific product launches and projects, rather than personal profiles or interviews. He is identified as founder of Shift Cargo Limited on the group's own logistics page, and as the acquiring Managing Director on the Marungu Plantation page — the group's site is consistently the primary source for his personal role.</w:t>
      </w:r>
    </w:p>
    <w:p>
      <w:r>
        <w:br w:type="page"/>
      </w:r>
    </w:p>
    <w:p>
      <w:pPr>
        <w:pStyle w:val="Heading1"/>
        <w:spacing w:after="160" w:before="360"/>
      </w:pPr>
      <w:r>
        <w:t xml:space="preserve">3. Connected Companies &amp; Counterparties in the Region</w:t>
      </w:r>
    </w:p>
    <w:p>
      <w:pPr>
        <w:spacing w:after="140"/>
      </w:pPr>
      <w:r>
        <w:t xml:space="preserve">This section is the principal addition in this revision. It maps every corporate entity and natural person that open-source search connects to Justin Lambert or to Junaco across the region, grouped by the nature of the connection. “The region” is read broadly here — East, Central and Southern Africa plus the UAE trading hub — because the group's structure, its financing and its disputes cross those borders in ways that a Tanzania-only view would miss.</w:t>
      </w:r>
    </w:p>
    <w:p>
      <w:pPr>
        <w:spacing w:after="180"/>
      </w:pPr>
      <w:r>
        <w:t xml:space="preserve">Each row carries its own confidence marker. Corporate relationships taken from the group's own published history are marked verified where an independent source (Devex, trade press, court records) also records them. Ownership percentages, where given, are as reported at the time of the announcement and have not been confirmed against any current shareholder register.</w:t>
      </w:r>
    </w:p>
    <w:p>
      <w:pPr>
        <w:pStyle w:val="Heading2"/>
        <w:keepNext/>
        <w:spacing w:after="120" w:before="260"/>
      </w:pPr>
      <w:r>
        <w:t xml:space="preserve">3.1 Holding company and country operating entities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Entity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Since</w:t>
            </w:r>
          </w:p>
        </w:tc>
        <w:tc>
          <w:tcPr>
            <w:tcW w:type="dxa" w:w="4470"/>
            <w:shd w:fill="F2F2F2" w:color="auto" w:val="clear"/>
            <w:tcMar>
              <w:top w:type="dxa" w:w="100"/>
              <w:left w:type="dxa" w:w="120"/>
              <w:bottom w:type="dxa" w:w="100"/>
              <w:right w:type="dxa" w:w="120"/>
            </w:tcMar>
          </w:tcPr>
          <w:p>
            <w:r>
              <w:rPr>
                <w:b/>
                <w:bCs/>
                <w:sz w:val="20"/>
                <w:szCs w:val="20"/>
              </w:rPr>
              <w:t xml:space="preserve">Role and status</w:t>
            </w:r>
          </w:p>
        </w:tc>
      </w:tr>
      <w:tr>
        <w:tc>
          <w:tcPr>
            <w:tcW w:type="dxa" w:w="2350"/>
            <w:tcMar>
              <w:top w:type="dxa" w:w="100"/>
              <w:left w:type="dxa" w:w="120"/>
              <w:bottom w:type="dxa" w:w="100"/>
              <w:right w:type="dxa" w:w="120"/>
            </w:tcMar>
          </w:tcPr>
          <w:p>
            <w:r>
              <w:rPr>
                <w:sz w:val="20"/>
                <w:szCs w:val="20"/>
              </w:rPr>
              <w:t xml:space="preserve">Junaco Group of Companies Ltd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2016</w:t>
            </w:r>
          </w:p>
        </w:tc>
        <w:tc>
          <w:tcPr>
            <w:tcW w:type="dxa" w:w="4470"/>
            <w:tcMar>
              <w:top w:type="dxa" w:w="100"/>
              <w:left w:type="dxa" w:w="120"/>
              <w:bottom w:type="dxa" w:w="100"/>
              <w:right w:type="dxa" w:w="120"/>
            </w:tcMar>
          </w:tcPr>
          <w:p>
            <w:r>
              <w:rPr>
                <w:sz w:val="20"/>
                <w:szCs w:val="20"/>
              </w:rPr>
              <w:t xml:space="preserve">Group holding company; provides corporate strategic leadership over the operating subsidiaries. The entity recorded on Devex as the counterparty to the multilateral contract awards.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(T) Limited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2000</w:t>
            </w:r>
          </w:p>
        </w:tc>
        <w:tc>
          <w:tcPr>
            <w:tcW w:type="dxa" w:w="4470"/>
            <w:tcMar>
              <w:top w:type="dxa" w:w="100"/>
              <w:left w:type="dxa" w:w="120"/>
              <w:bottom w:type="dxa" w:w="100"/>
              <w:right w:type="dxa" w:w="120"/>
            </w:tcMar>
          </w:tcPr>
          <w:p>
            <w:r>
              <w:rPr>
                <w:sz w:val="20"/>
                <w:szCs w:val="20"/>
              </w:rPr>
              <w:t xml:space="preserve">Founding and principal operating company. The borrower, litigant and joint-venture shareholder in almost every transaction traced below. Managing Director: Justin Lambert.</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Uganda Limited (Junaco (U) Limited)</w:t>
            </w:r>
          </w:p>
        </w:tc>
        <w:tc>
          <w:tcPr>
            <w:tcW w:type="dxa" w:w="1620"/>
            <w:tcMar>
              <w:top w:type="dxa" w:w="100"/>
              <w:left w:type="dxa" w:w="120"/>
              <w:bottom w:type="dxa" w:w="100"/>
              <w:right w:type="dxa" w:w="120"/>
            </w:tcMar>
          </w:tcPr>
          <w:p>
            <w:r>
              <w:rPr>
                <w:sz w:val="20"/>
                <w:szCs w:val="20"/>
              </w:rPr>
              <w:t xml:space="preserve">Uganda</w:t>
            </w:r>
          </w:p>
        </w:tc>
        <w:tc>
          <w:tcPr>
            <w:tcW w:type="dxa" w:w="1100"/>
            <w:tcMar>
              <w:top w:type="dxa" w:w="100"/>
              <w:left w:type="dxa" w:w="120"/>
              <w:bottom w:type="dxa" w:w="100"/>
              <w:right w:type="dxa" w:w="120"/>
            </w:tcMar>
          </w:tcPr>
          <w:p>
            <w:r>
              <w:rPr>
                <w:sz w:val="20"/>
                <w:szCs w:val="20"/>
              </w:rPr>
              <w:t xml:space="preserve">2012</w:t>
            </w:r>
          </w:p>
        </w:tc>
        <w:tc>
          <w:tcPr>
            <w:tcW w:type="dxa" w:w="4470"/>
            <w:tcMar>
              <w:top w:type="dxa" w:w="100"/>
              <w:left w:type="dxa" w:w="120"/>
              <w:bottom w:type="dxa" w:w="100"/>
              <w:right w:type="dxa" w:w="120"/>
            </w:tcMar>
          </w:tcPr>
          <w:p>
            <w:r>
              <w:rPr>
                <w:sz w:val="20"/>
                <w:szCs w:val="20"/>
              </w:rPr>
              <w:t xml:space="preserve">Water meters, valves, pumps, manhole covers, chemicals. Kampala industrial-area premises; active importer and exporter on trade-data records.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Trading Kenya Limited</w:t>
            </w:r>
          </w:p>
        </w:tc>
        <w:tc>
          <w:tcPr>
            <w:tcW w:type="dxa" w:w="1620"/>
            <w:tcMar>
              <w:top w:type="dxa" w:w="100"/>
              <w:left w:type="dxa" w:w="120"/>
              <w:bottom w:type="dxa" w:w="100"/>
              <w:right w:type="dxa" w:w="120"/>
            </w:tcMar>
          </w:tcPr>
          <w:p>
            <w:r>
              <w:rPr>
                <w:sz w:val="20"/>
                <w:szCs w:val="20"/>
              </w:rPr>
              <w:t xml:space="preserve">Kenya</w:t>
            </w:r>
          </w:p>
        </w:tc>
        <w:tc>
          <w:tcPr>
            <w:tcW w:type="dxa" w:w="1100"/>
            <w:tcMar>
              <w:top w:type="dxa" w:w="100"/>
              <w:left w:type="dxa" w:w="120"/>
              <w:bottom w:type="dxa" w:w="100"/>
              <w:right w:type="dxa" w:w="120"/>
            </w:tcMar>
          </w:tcPr>
          <w:p>
            <w:r>
              <w:rPr>
                <w:sz w:val="20"/>
                <w:szCs w:val="20"/>
              </w:rPr>
              <w:t xml:space="preserve">2014</w:t>
            </w:r>
          </w:p>
        </w:tc>
        <w:tc>
          <w:tcPr>
            <w:tcW w:type="dxa" w:w="4470"/>
            <w:tcMar>
              <w:top w:type="dxa" w:w="100"/>
              <w:left w:type="dxa" w:w="120"/>
              <w:bottom w:type="dxa" w:w="100"/>
              <w:right w:type="dxa" w:w="120"/>
            </w:tcMar>
          </w:tcPr>
          <w:p>
            <w:r>
              <w:rPr>
                <w:sz w:val="20"/>
                <w:szCs w:val="20"/>
              </w:rPr>
              <w:t xml:space="preserve">Supplier of industrial and water-treatment chemicals, meters, valves, pumps, pipes and fittings; imports from Turkey, Germany, India, South Africa, France and China. The group entity nearest to KRP's own market.</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Trading Enterprise S.A.</w:t>
            </w:r>
          </w:p>
        </w:tc>
        <w:tc>
          <w:tcPr>
            <w:tcW w:type="dxa" w:w="1620"/>
            <w:tcMar>
              <w:top w:type="dxa" w:w="100"/>
              <w:left w:type="dxa" w:w="120"/>
              <w:bottom w:type="dxa" w:w="100"/>
              <w:right w:type="dxa" w:w="120"/>
            </w:tcMar>
          </w:tcPr>
          <w:p>
            <w:r>
              <w:rPr>
                <w:sz w:val="20"/>
                <w:szCs w:val="20"/>
              </w:rPr>
              <w:t xml:space="preserve">South Africa</w:t>
            </w:r>
          </w:p>
        </w:tc>
        <w:tc>
          <w:tcPr>
            <w:tcW w:type="dxa" w:w="1100"/>
            <w:tcMar>
              <w:top w:type="dxa" w:w="100"/>
              <w:left w:type="dxa" w:w="120"/>
              <w:bottom w:type="dxa" w:w="100"/>
              <w:right w:type="dxa" w:w="120"/>
            </w:tcMar>
          </w:tcPr>
          <w:p>
            <w:r>
              <w:rPr>
                <w:sz w:val="20"/>
                <w:szCs w:val="20"/>
              </w:rPr>
              <w:t xml:space="preserve">2014</w:t>
            </w:r>
          </w:p>
        </w:tc>
        <w:tc>
          <w:tcPr>
            <w:tcW w:type="dxa" w:w="4470"/>
            <w:tcMar>
              <w:top w:type="dxa" w:w="100"/>
              <w:left w:type="dxa" w:w="120"/>
              <w:bottom w:type="dxa" w:w="100"/>
              <w:right w:type="dxa" w:w="120"/>
            </w:tcMar>
          </w:tcPr>
          <w:p>
            <w:r>
              <w:rPr>
                <w:sz w:val="20"/>
                <w:szCs w:val="20"/>
              </w:rPr>
              <w:t xml:space="preserve">Southern Africa trading arm.</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RDC Limited</w:t>
            </w:r>
          </w:p>
        </w:tc>
        <w:tc>
          <w:tcPr>
            <w:tcW w:type="dxa" w:w="1620"/>
            <w:tcMar>
              <w:top w:type="dxa" w:w="100"/>
              <w:left w:type="dxa" w:w="120"/>
              <w:bottom w:type="dxa" w:w="100"/>
              <w:right w:type="dxa" w:w="120"/>
            </w:tcMar>
          </w:tcPr>
          <w:p>
            <w:r>
              <w:rPr>
                <w:sz w:val="20"/>
                <w:szCs w:val="20"/>
              </w:rPr>
              <w:t xml:space="preserve">DRC</w:t>
            </w:r>
          </w:p>
        </w:tc>
        <w:tc>
          <w:tcPr>
            <w:tcW w:type="dxa" w:w="1100"/>
            <w:tcMar>
              <w:top w:type="dxa" w:w="100"/>
              <w:left w:type="dxa" w:w="120"/>
              <w:bottom w:type="dxa" w:w="100"/>
              <w:right w:type="dxa" w:w="120"/>
            </w:tcMar>
          </w:tcPr>
          <w:p>
            <w:r>
              <w:rPr>
                <w:sz w:val="20"/>
                <w:szCs w:val="20"/>
              </w:rPr>
              <w:t xml:space="preserve">2015</w:t>
            </w:r>
          </w:p>
        </w:tc>
        <w:tc>
          <w:tcPr>
            <w:tcW w:type="dxa" w:w="4470"/>
            <w:tcMar>
              <w:top w:type="dxa" w:w="100"/>
              <w:left w:type="dxa" w:w="120"/>
              <w:bottom w:type="dxa" w:w="100"/>
              <w:right w:type="dxa" w:w="120"/>
            </w:tcMar>
          </w:tcPr>
          <w:p>
            <w:r>
              <w:rPr>
                <w:sz w:val="20"/>
                <w:szCs w:val="20"/>
              </w:rPr>
              <w:t xml:space="preserve">Congolese operating entity; the group's DRC presence sits behind the REGIDESO calcium hypochlorite supply recorded on Devex.</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Junaco General Trading LLC</w:t>
            </w:r>
          </w:p>
        </w:tc>
        <w:tc>
          <w:tcPr>
            <w:tcW w:type="dxa" w:w="1620"/>
            <w:tcMar>
              <w:top w:type="dxa" w:w="100"/>
              <w:left w:type="dxa" w:w="120"/>
              <w:bottom w:type="dxa" w:w="100"/>
              <w:right w:type="dxa" w:w="120"/>
            </w:tcMar>
          </w:tcPr>
          <w:p>
            <w:r>
              <w:rPr>
                <w:sz w:val="20"/>
                <w:szCs w:val="20"/>
              </w:rPr>
              <w:t xml:space="preserve">UAE (Dubai)</w:t>
            </w:r>
          </w:p>
        </w:tc>
        <w:tc>
          <w:tcPr>
            <w:tcW w:type="dxa" w:w="1100"/>
            <w:tcMar>
              <w:top w:type="dxa" w:w="100"/>
              <w:left w:type="dxa" w:w="120"/>
              <w:bottom w:type="dxa" w:w="100"/>
              <w:right w:type="dxa" w:w="120"/>
            </w:tcMar>
          </w:tcPr>
          <w:p>
            <w:r>
              <w:rPr>
                <w:sz w:val="20"/>
                <w:szCs w:val="20"/>
              </w:rPr>
              <w:t xml:space="preserve">2016</w:t>
            </w:r>
          </w:p>
        </w:tc>
        <w:tc>
          <w:tcPr>
            <w:tcW w:type="dxa" w:w="4470"/>
            <w:tcMar>
              <w:top w:type="dxa" w:w="100"/>
              <w:left w:type="dxa" w:w="120"/>
              <w:bottom w:type="dxa" w:w="100"/>
              <w:right w:type="dxa" w:w="120"/>
            </w:tcMar>
          </w:tcPr>
          <w:p>
            <w:r>
              <w:rPr>
                <w:sz w:val="20"/>
                <w:szCs w:val="20"/>
              </w:rPr>
              <w:t xml:space="preserve">Dubai trading entity, Port Saeed / Deira. Recorded as trading sisal fibre products — i.e. it appears to be the export channel for the Marungu output as well as a procurement hub.</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Unnamed Zambian affiliate</w:t>
            </w:r>
          </w:p>
        </w:tc>
        <w:tc>
          <w:tcPr>
            <w:tcW w:type="dxa" w:w="1620"/>
            <w:tcMar>
              <w:top w:type="dxa" w:w="100"/>
              <w:left w:type="dxa" w:w="120"/>
              <w:bottom w:type="dxa" w:w="100"/>
              <w:right w:type="dxa" w:w="120"/>
            </w:tcMar>
          </w:tcPr>
          <w:p>
            <w:r>
              <w:rPr>
                <w:sz w:val="20"/>
                <w:szCs w:val="20"/>
              </w:rPr>
              <w:t xml:space="preserve">Zambia</w:t>
            </w:r>
          </w:p>
        </w:tc>
        <w:tc>
          <w:tcPr>
            <w:tcW w:type="dxa" w:w="1100"/>
            <w:tcMar>
              <w:top w:type="dxa" w:w="100"/>
              <w:left w:type="dxa" w:w="120"/>
              <w:bottom w:type="dxa" w:w="100"/>
              <w:right w:type="dxa" w:w="120"/>
            </w:tcMar>
          </w:tcPr>
          <w:p>
            <w:r>
              <w:rPr>
                <w:sz w:val="20"/>
                <w:szCs w:val="20"/>
              </w:rPr>
              <w:t xml:space="preserve">—</w:t>
            </w:r>
          </w:p>
        </w:tc>
        <w:tc>
          <w:tcPr>
            <w:tcW w:type="dxa" w:w="4470"/>
            <w:tcMar>
              <w:top w:type="dxa" w:w="100"/>
              <w:left w:type="dxa" w:w="120"/>
              <w:bottom w:type="dxa" w:w="100"/>
              <w:right w:type="dxa" w:w="120"/>
            </w:tcMar>
          </w:tcPr>
          <w:p>
            <w:r>
              <w:rPr>
                <w:sz w:val="20"/>
                <w:szCs w:val="20"/>
              </w:rPr>
              <w:t xml:space="preserve">Referenced in group marketing as an affiliate but never named, and absent from the group's own incorporation history. Resolve on the Zambian registry (PACRA) before treating Zambia as a corporate footprint.</w:t>
            </w:r>
            <w:r>
              <w:rPr>
                <w:b/>
                <w:bCs/>
                <w:color w:val="B91C1C"/>
                <w:sz w:val="18"/>
                <w:szCs w:val="18"/>
              </w:rPr>
              <w:t xml:space="preserve">  [UNVERIFIED — reported]</w:t>
            </w:r>
          </w:p>
        </w:tc>
      </w:tr>
    </w:tbl>
    <w:p>
      <w:pPr>
        <w:spacing w:after="60"/>
      </w:pPr>
    </w:p>
    <w:p>
      <w:pPr>
        <w:spacing w:after="200"/>
      </w:pPr>
      <w:r>
        <w:rPr>
          <w:i/>
          <w:iCs/>
          <w:color w:val="6B7280"/>
          <w:sz w:val="18"/>
          <w:szCs w:val="18"/>
        </w:rPr>
        <w:t xml:space="preserve">Sources: Devex organization profile; junacogroup.com “About Us”; Construction Review Online (June 2017); East Africa Tenders directory; Volza trade records; UAE business directories.</w:t>
      </w:r>
    </w:p>
    <w:p>
      <w:pPr>
        <w:pStyle w:val="Heading2"/>
        <w:keepNext/>
        <w:spacing w:after="120" w:before="260"/>
      </w:pPr>
      <w:r>
        <w:t xml:space="preserve">3.2 Acquired operating subsidiaries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Entity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Acquired</w:t>
            </w:r>
          </w:p>
        </w:tc>
        <w:tc>
          <w:tcPr>
            <w:tcW w:type="dxa" w:w="4470"/>
            <w:shd w:fill="F2F2F2" w:color="auto" w:val="clear"/>
            <w:tcMar>
              <w:top w:type="dxa" w:w="100"/>
              <w:left w:type="dxa" w:w="120"/>
              <w:bottom w:type="dxa" w:w="100"/>
              <w:right w:type="dxa" w:w="120"/>
            </w:tcMar>
          </w:tcPr>
          <w:p>
            <w:r>
              <w:rPr>
                <w:b/>
                <w:bCs/>
                <w:sz w:val="20"/>
                <w:szCs w:val="20"/>
              </w:rPr>
              <w:t xml:space="preserve">Role and status</w:t>
            </w:r>
          </w:p>
        </w:tc>
      </w:tr>
      <w:tr>
        <w:tc>
          <w:tcPr>
            <w:tcW w:type="dxa" w:w="2350"/>
            <w:tcMar>
              <w:top w:type="dxa" w:w="100"/>
              <w:left w:type="dxa" w:w="120"/>
              <w:bottom w:type="dxa" w:w="100"/>
              <w:right w:type="dxa" w:w="120"/>
            </w:tcMar>
          </w:tcPr>
          <w:p>
            <w:r>
              <w:rPr>
                <w:sz w:val="20"/>
                <w:szCs w:val="20"/>
              </w:rPr>
              <w:t xml:space="preserve">Marungu Plantation Limited</w:t>
            </w:r>
          </w:p>
        </w:tc>
        <w:tc>
          <w:tcPr>
            <w:tcW w:type="dxa" w:w="1620"/>
            <w:tcMar>
              <w:top w:type="dxa" w:w="100"/>
              <w:left w:type="dxa" w:w="120"/>
              <w:bottom w:type="dxa" w:w="100"/>
              <w:right w:type="dxa" w:w="120"/>
            </w:tcMar>
          </w:tcPr>
          <w:p>
            <w:r>
              <w:rPr>
                <w:sz w:val="20"/>
                <w:szCs w:val="20"/>
              </w:rPr>
              <w:t xml:space="preserve">Tanzania (Tanga)</w:t>
            </w:r>
          </w:p>
        </w:tc>
        <w:tc>
          <w:tcPr>
            <w:tcW w:type="dxa" w:w="1100"/>
            <w:tcMar>
              <w:top w:type="dxa" w:w="100"/>
              <w:left w:type="dxa" w:w="120"/>
              <w:bottom w:type="dxa" w:w="100"/>
              <w:right w:type="dxa" w:w="120"/>
            </w:tcMar>
          </w:tcPr>
          <w:p>
            <w:r>
              <w:rPr>
                <w:sz w:val="20"/>
                <w:szCs w:val="20"/>
              </w:rPr>
              <w:t xml:space="preserve">2013</w:t>
            </w:r>
          </w:p>
        </w:tc>
        <w:tc>
          <w:tcPr>
            <w:tcW w:type="dxa" w:w="4470"/>
            <w:tcMar>
              <w:top w:type="dxa" w:w="100"/>
              <w:left w:type="dxa" w:w="120"/>
              <w:bottom w:type="dxa" w:w="100"/>
              <w:right w:type="dxa" w:w="120"/>
            </w:tcMar>
          </w:tcPr>
          <w:p>
            <w:r>
              <w:rPr>
                <w:sz w:val="20"/>
                <w:szCs w:val="20"/>
              </w:rPr>
              <w:t xml:space="preserve">4,600-hectare sisal estate 20 km from Tanga City on the Pangani road; estate established 1928 and passed through several owners before Junaco. Products: sisal fibre, composites, ethanol, inulin, biogas power and organic manure. Recorded owner: Junaco (T) Ltd under Managing Director Justin Lambert.</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Shift Cargo Limited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2015</w:t>
            </w:r>
          </w:p>
        </w:tc>
        <w:tc>
          <w:tcPr>
            <w:tcW w:type="dxa" w:w="4470"/>
            <w:tcMar>
              <w:top w:type="dxa" w:w="100"/>
              <w:left w:type="dxa" w:w="120"/>
              <w:bottom w:type="dxa" w:w="100"/>
              <w:right w:type="dxa" w:w="120"/>
            </w:tcMar>
          </w:tcPr>
          <w:p>
            <w:r>
              <w:rPr>
                <w:sz w:val="20"/>
                <w:szCs w:val="20"/>
              </w:rPr>
              <w:t xml:space="preserve">Clearing and forwarding; company itself established 1988 and described on the group's own site as founded by Lambert. Licensed TRA customs and freight agent; storage facility at Keko; handles transit cargo to Malawi, Zambia, DRC, Rwanda and Burundi — the group's practical regional reach beyond its incorporations.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Clarkson Insurance Brokers (T) Ltd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2016</w:t>
            </w:r>
          </w:p>
        </w:tc>
        <w:tc>
          <w:tcPr>
            <w:tcW w:type="dxa" w:w="4470"/>
            <w:tcMar>
              <w:top w:type="dxa" w:w="100"/>
              <w:left w:type="dxa" w:w="120"/>
              <w:bottom w:type="dxa" w:w="100"/>
              <w:right w:type="dxa" w:w="120"/>
            </w:tcMar>
          </w:tcPr>
          <w:p>
            <w:r>
              <w:rPr>
                <w:sz w:val="20"/>
                <w:szCs w:val="20"/>
              </w:rPr>
              <w:t xml:space="preserve">Junaco (T) Ltd took a stake as the Tanzanian shareholder; Tanzanian operations commenced 28 October 2016. Part of the Clarkson Insurance Brokers group (established 1958, rebranded under new shareholders in 2012), which operates in Kenya, Uganda, Tanzania and Zambia — a second, indirect regional linkage worth mapping in full.</w:t>
            </w:r>
            <w:r>
              <w:rPr>
                <w:b/>
                <w:bCs/>
                <w:color w:val="166534"/>
                <w:sz w:val="18"/>
                <w:szCs w:val="18"/>
              </w:rPr>
              <w:t xml:space="preserve">  [VERIFIED]</w:t>
            </w:r>
          </w:p>
        </w:tc>
      </w:tr>
    </w:tbl>
    <w:p>
      <w:pPr>
        <w:spacing w:after="60"/>
      </w:pPr>
    </w:p>
    <w:p>
      <w:pPr>
        <w:spacing w:after="200"/>
      </w:pPr>
      <w:r>
        <w:rPr>
          <w:i/>
          <w:iCs/>
          <w:color w:val="6B7280"/>
          <w:sz w:val="18"/>
          <w:szCs w:val="18"/>
        </w:rPr>
        <w:t xml:space="preserve">Sources: junacogroup.com (Marungu Sisal Plantation; Shift Cargo pages); Devex; clarkson-group.com; The Exchange Africa.</w:t>
      </w:r>
    </w:p>
    <w:p>
      <w:pPr>
        <w:pStyle w:val="Heading2"/>
        <w:keepNext/>
        <w:spacing w:after="120" w:before="260"/>
      </w:pPr>
      <w:r>
        <w:t xml:space="preserve">3.3 Joint ventures and special-purpose vehicles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Entity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Formed</w:t>
            </w:r>
          </w:p>
        </w:tc>
        <w:tc>
          <w:tcPr>
            <w:tcW w:type="dxa" w:w="4470"/>
            <w:shd w:fill="F2F2F2" w:color="auto" w:val="clear"/>
            <w:tcMar>
              <w:top w:type="dxa" w:w="100"/>
              <w:left w:type="dxa" w:w="120"/>
              <w:bottom w:type="dxa" w:w="100"/>
              <w:right w:type="dxa" w:w="120"/>
            </w:tcMar>
          </w:tcPr>
          <w:p>
            <w:r>
              <w:rPr>
                <w:b/>
                <w:bCs/>
                <w:sz w:val="20"/>
                <w:szCs w:val="20"/>
              </w:rPr>
              <w:t xml:space="preserve">Role and status</w:t>
            </w:r>
          </w:p>
        </w:tc>
      </w:tr>
      <w:tr>
        <w:tc>
          <w:tcPr>
            <w:tcW w:type="dxa" w:w="2350"/>
            <w:tcMar>
              <w:top w:type="dxa" w:w="100"/>
              <w:left w:type="dxa" w:w="120"/>
              <w:bottom w:type="dxa" w:w="100"/>
              <w:right w:type="dxa" w:w="120"/>
            </w:tcMar>
          </w:tcPr>
          <w:p>
            <w:r>
              <w:rPr>
                <w:sz w:val="20"/>
                <w:szCs w:val="20"/>
              </w:rPr>
              <w:t xml:space="preserve">Sufini Holding Limited (announced as “Msufini LLC”)</w:t>
            </w:r>
          </w:p>
        </w:tc>
        <w:tc>
          <w:tcPr>
            <w:tcW w:type="dxa" w:w="1620"/>
            <w:tcMar>
              <w:top w:type="dxa" w:w="100"/>
              <w:left w:type="dxa" w:w="120"/>
              <w:bottom w:type="dxa" w:w="100"/>
              <w:right w:type="dxa" w:w="120"/>
            </w:tcMar>
          </w:tcPr>
          <w:p>
            <w:r>
              <w:rPr>
                <w:sz w:val="20"/>
                <w:szCs w:val="20"/>
              </w:rPr>
              <w:t xml:space="preserve">UAE (Dubai)</w:t>
            </w:r>
          </w:p>
        </w:tc>
        <w:tc>
          <w:tcPr>
            <w:tcW w:type="dxa" w:w="1100"/>
            <w:tcMar>
              <w:top w:type="dxa" w:w="100"/>
              <w:left w:type="dxa" w:w="120"/>
              <w:bottom w:type="dxa" w:w="100"/>
              <w:right w:type="dxa" w:w="120"/>
            </w:tcMar>
          </w:tcPr>
          <w:p>
            <w:r>
              <w:rPr>
                <w:sz w:val="20"/>
                <w:szCs w:val="20"/>
              </w:rPr>
              <w:t xml:space="preserve">2017–18</w:t>
            </w:r>
          </w:p>
        </w:tc>
        <w:tc>
          <w:tcPr>
            <w:tcW w:type="dxa" w:w="4470"/>
            <w:tcMar>
              <w:top w:type="dxa" w:w="100"/>
              <w:left w:type="dxa" w:w="120"/>
              <w:bottom w:type="dxa" w:w="100"/>
              <w:right w:type="dxa" w:w="120"/>
            </w:tcMar>
          </w:tcPr>
          <w:p>
            <w:r>
              <w:rPr>
                <w:sz w:val="20"/>
                <w:szCs w:val="20"/>
              </w:rPr>
              <w:t xml:space="preserve">Special-purpose vehicle holding 100% of the Tanzanian plant company. Reported shareholding: Serba Dinamik International Ltd 25%, Junaco (T) Ltd 75%. Note the two names used in different filings and press reports — confirm which is the registered name.</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Msufini Tanzania Limited (also Msufini (T) Ltd / Msufini Chlor Tanzania Ltd)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2018</w:t>
            </w:r>
          </w:p>
        </w:tc>
        <w:tc>
          <w:tcPr>
            <w:tcW w:type="dxa" w:w="4470"/>
            <w:tcMar>
              <w:top w:type="dxa" w:w="100"/>
              <w:left w:type="dxa" w:w="120"/>
              <w:bottom w:type="dxa" w:w="100"/>
              <w:right w:type="dxa" w:w="120"/>
            </w:tcMar>
          </w:tcPr>
          <w:p>
            <w:r>
              <w:rPr>
                <w:sz w:val="20"/>
                <w:szCs w:val="20"/>
              </w:rPr>
              <w:t xml:space="preserve">Owner of the 45 tpd chlor-alkali plant at Msufini, Mlandizi Ward, Kibaha District, Coast Region. Manufactures chlorine and caustic soda with downstream derivatives for water treatment, pharmaceuticals, textiles and chemicals.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Counterparty to a March 2024 transaction recorded as “EAC Tanzania”</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2024</w:t>
            </w:r>
          </w:p>
        </w:tc>
        <w:tc>
          <w:tcPr>
            <w:tcW w:type="dxa" w:w="4470"/>
            <w:tcMar>
              <w:top w:type="dxa" w:w="100"/>
              <w:left w:type="dxa" w:w="120"/>
              <w:bottom w:type="dxa" w:w="100"/>
              <w:right w:type="dxa" w:w="120"/>
            </w:tcMar>
          </w:tcPr>
          <w:p>
            <w:r>
              <w:rPr>
                <w:sz w:val="20"/>
                <w:szCs w:val="20"/>
              </w:rPr>
              <w:t xml:space="preserve">A commercial database records a merger/acquisition involving Msufini Tanzania dated 7 March 2024 with a counterparty abbreviated “EAC Tanzania.” The counterparty could not be identified and the nature and direction of the transaction are unknown. Treat as an open item, not a finding — but it may indicate a change of control at the plant company.</w:t>
            </w:r>
            <w:r>
              <w:rPr>
                <w:b/>
                <w:bCs/>
                <w:color w:val="B91C1C"/>
                <w:sz w:val="18"/>
                <w:szCs w:val="18"/>
              </w:rPr>
              <w:t xml:space="preserve">  [UNVERIFIED — reported]</w:t>
            </w:r>
          </w:p>
        </w:tc>
      </w:tr>
    </w:tbl>
    <w:p>
      <w:pPr>
        <w:spacing w:after="10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FEE2E2" w:color="auto" w:val="clear"/>
            <w:tcMar>
              <w:top w:type="dxa" w:w="200"/>
              <w:left w:type="dxa" w:w="260"/>
              <w:bottom w:type="dxa" w:w="200"/>
              <w:right w:type="dxa" w:w="260"/>
            </w:tcMar>
          </w:tcPr>
          <w:p>
            <w:pPr>
              <w:spacing w:after="100"/>
            </w:pPr>
            <w:r>
              <w:rPr>
                <w:b/>
                <w:bCs/>
                <w:color w:val="991B1B"/>
                <w:sz w:val="22"/>
                <w:szCs w:val="22"/>
              </w:rPr>
              <w:t xml:space="preserve">Material observation — the Msufini project timeline does not close</w:t>
            </w:r>
          </w:p>
          <w:p>
            <w:pPr>
              <w:spacing w:after="80"/>
            </w:pPr>
            <w:r>
              <w:rPr>
                <w:color w:val="7F1D1D"/>
                <w:sz w:val="20"/>
                <w:szCs w:val="20"/>
              </w:rPr>
              <w:t xml:space="preserve">The chlor-alkali plant is the group's flagship industrial asset and the basis of much of its “first in Sub-Saharan Africa” positioning. The public record on it is discontinuous in a way that matters for any credit or investment view.</w:t>
            </w:r>
          </w:p>
          <w:p>
            <w:pPr>
              <w:spacing w:after="80"/>
            </w:pPr>
            <w:r>
              <w:rPr>
                <w:color w:val="7F1D1D"/>
                <w:sz w:val="20"/>
                <w:szCs w:val="20"/>
              </w:rPr>
              <w:t xml:space="preserve">•  Oct 2017: joint venture agreed between Serba Dinamik International Ltd and Junaco (T) Ltd. Mar 2018: Serba Dinamik confirms a 25% stake. The EPCC award to Serba Dinamik was valued at RM295.26 million (c. US$69.8m).</w:t>
            </w:r>
          </w:p>
          <w:p>
            <w:pPr>
              <w:spacing w:after="80"/>
            </w:pPr>
            <w:r>
              <w:rPr>
                <w:color w:val="7F1D1D"/>
                <w:sz w:val="20"/>
                <w:szCs w:val="20"/>
              </w:rPr>
              <w:t xml:space="preserve">•  Jun 2018: thyssenkrupp announces supply of the modular chlor-alkali plant; construction reported as beginning that year.</w:t>
            </w:r>
          </w:p>
          <w:p>
            <w:pPr>
              <w:spacing w:after="80"/>
            </w:pPr>
            <w:r>
              <w:rPr>
                <w:color w:val="7F1D1D"/>
                <w:sz w:val="20"/>
                <w:szCs w:val="20"/>
              </w:rPr>
              <w:t xml:space="preserve">•  2021–24: Serba Dinamik Holdings Bhd is classified PN17 (financially distressed), delisted from Bursa Malaysia on 5 June 2024, and enters liquidation; its liquidator has since sued its former auditor. Reported revenues for FY2016–FY2019 were found to have been overstated by between 62% and 87%.</w:t>
            </w:r>
          </w:p>
          <w:p>
            <w:pPr>
              <w:spacing w:after="80"/>
            </w:pPr>
            <w:r>
              <w:rPr>
                <w:color w:val="7F1D1D"/>
                <w:sz w:val="20"/>
                <w:szCs w:val="20"/>
              </w:rPr>
              <w:t xml:space="preserve">•  Jun 2026: Nuberg EPC announces a turnkey contract from Msufini Tanzania Ltd for a 45 tpd chlor-alkali plant at Mlandizi — the same capacity, the same site — with commissioning targeted for January 2027.</w:t>
            </w:r>
          </w:p>
          <w:p>
            <w:r>
              <w:rPr>
                <w:i/>
                <w:iCs/>
                <w:color w:val="7F1D1D"/>
                <w:sz w:val="20"/>
                <w:szCs w:val="20"/>
              </w:rPr>
              <w:t xml:space="preserve">The straightforward reading is that the 2018 build did not reach commissioning and the project is being restarted with a new contractor roughly eight years later, after the original JV partner's collapse. That is an inference, not a confirmed fact, and it is the single most valuable thing to put to Lambert directly: what happened to the 2018 plant, what did it cost, how was it financed, and who owns Msufini Tanzania Limited today following the reported March 2024 transaction and Serba Dinamik's liquidation.</w:t>
            </w:r>
          </w:p>
        </w:tc>
      </w:tr>
    </w:tbl>
    <w:p>
      <w:pPr>
        <w:spacing w:after="60"/>
      </w:pPr>
    </w:p>
    <w:p>
      <w:pPr>
        <w:spacing w:after="200"/>
      </w:pPr>
      <w:r>
        <w:rPr>
          <w:i/>
          <w:iCs/>
          <w:color w:val="6B7280"/>
          <w:sz w:val="18"/>
          <w:szCs w:val="18"/>
        </w:rPr>
        <w:t xml:space="preserve">Sources: The Edge Malaysia; The Star (Malaysia); MIDA; Indian Chemical News; Mining.com (thyssenkrupp, June 2018); CCE Online News (April 2018); Hydrocarbon Processing and Hydrocarbon Engineering (June 2026); Fiinews (11 June 2026); PitchBook company record; The Malaysian Reserve; Focus Malaysia.</w:t>
      </w:r>
    </w:p>
    <w:p>
      <w:pPr>
        <w:pStyle w:val="Heading2"/>
        <w:keepNext/>
        <w:spacing w:after="120" w:before="260"/>
      </w:pPr>
      <w:r>
        <w:t xml:space="preserve">3.4 Technology, EPC and product partners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Counterparty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Since</w:t>
            </w:r>
          </w:p>
        </w:tc>
        <w:tc>
          <w:tcPr>
            <w:tcW w:type="dxa" w:w="4470"/>
            <w:shd w:fill="F2F2F2" w:color="auto" w:val="clear"/>
            <w:tcMar>
              <w:top w:type="dxa" w:w="100"/>
              <w:left w:type="dxa" w:w="120"/>
              <w:bottom w:type="dxa" w:w="100"/>
              <w:right w:type="dxa" w:w="120"/>
            </w:tcMar>
          </w:tcPr>
          <w:p>
            <w:r>
              <w:rPr>
                <w:b/>
                <w:bCs/>
                <w:sz w:val="20"/>
                <w:szCs w:val="20"/>
              </w:rPr>
              <w:t xml:space="preserve">Nature of connection</w:t>
            </w:r>
          </w:p>
        </w:tc>
      </w:tr>
      <w:tr>
        <w:tc>
          <w:tcPr>
            <w:tcW w:type="dxa" w:w="2350"/>
            <w:tcMar>
              <w:top w:type="dxa" w:w="100"/>
              <w:left w:type="dxa" w:w="120"/>
              <w:bottom w:type="dxa" w:w="100"/>
              <w:right w:type="dxa" w:w="120"/>
            </w:tcMar>
          </w:tcPr>
          <w:p>
            <w:r>
              <w:rPr>
                <w:sz w:val="20"/>
                <w:szCs w:val="20"/>
              </w:rPr>
              <w:t xml:space="preserve">Serba Dinamik Holdings Bhd / Serba Dinamik International Ltd (SDIL)</w:t>
            </w:r>
          </w:p>
        </w:tc>
        <w:tc>
          <w:tcPr>
            <w:tcW w:type="dxa" w:w="1620"/>
            <w:tcMar>
              <w:top w:type="dxa" w:w="100"/>
              <w:left w:type="dxa" w:w="120"/>
              <w:bottom w:type="dxa" w:w="100"/>
              <w:right w:type="dxa" w:w="120"/>
            </w:tcMar>
          </w:tcPr>
          <w:p>
            <w:r>
              <w:rPr>
                <w:sz w:val="20"/>
                <w:szCs w:val="20"/>
              </w:rPr>
              <w:t xml:space="preserve">Malaysia</w:t>
            </w:r>
          </w:p>
        </w:tc>
        <w:tc>
          <w:tcPr>
            <w:tcW w:type="dxa" w:w="1100"/>
            <w:tcMar>
              <w:top w:type="dxa" w:w="100"/>
              <w:left w:type="dxa" w:w="120"/>
              <w:bottom w:type="dxa" w:w="100"/>
              <w:right w:type="dxa" w:w="120"/>
            </w:tcMar>
          </w:tcPr>
          <w:p>
            <w:r>
              <w:rPr>
                <w:sz w:val="20"/>
                <w:szCs w:val="20"/>
              </w:rPr>
              <w:t xml:space="preserve">2017</w:t>
            </w:r>
          </w:p>
        </w:tc>
        <w:tc>
          <w:tcPr>
            <w:tcW w:type="dxa" w:w="4470"/>
            <w:tcMar>
              <w:top w:type="dxa" w:w="100"/>
              <w:left w:type="dxa" w:w="120"/>
              <w:bottom w:type="dxa" w:w="100"/>
              <w:right w:type="dxa" w:w="120"/>
            </w:tcMar>
          </w:tcPr>
          <w:p>
            <w:r>
              <w:rPr>
                <w:sz w:val="20"/>
                <w:szCs w:val="20"/>
              </w:rPr>
              <w:t xml:space="preserve">Joint-venture partner (25%) and EPCC contractor on the Msufini plant. Now delisted and in liquidation following an accounting scandal. Its stake and any residual contractual position are a live question for the JV.</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thyssenkrupp (Industrial Solutions)</w:t>
            </w:r>
          </w:p>
        </w:tc>
        <w:tc>
          <w:tcPr>
            <w:tcW w:type="dxa" w:w="1620"/>
            <w:tcMar>
              <w:top w:type="dxa" w:w="100"/>
              <w:left w:type="dxa" w:w="120"/>
              <w:bottom w:type="dxa" w:w="100"/>
              <w:right w:type="dxa" w:w="120"/>
            </w:tcMar>
          </w:tcPr>
          <w:p>
            <w:r>
              <w:rPr>
                <w:sz w:val="20"/>
                <w:szCs w:val="20"/>
              </w:rPr>
              <w:t xml:space="preserve">Germany</w:t>
            </w:r>
          </w:p>
        </w:tc>
        <w:tc>
          <w:tcPr>
            <w:tcW w:type="dxa" w:w="1100"/>
            <w:tcMar>
              <w:top w:type="dxa" w:w="100"/>
              <w:left w:type="dxa" w:w="120"/>
              <w:bottom w:type="dxa" w:w="100"/>
              <w:right w:type="dxa" w:w="120"/>
            </w:tcMar>
          </w:tcPr>
          <w:p>
            <w:r>
              <w:rPr>
                <w:sz w:val="20"/>
                <w:szCs w:val="20"/>
              </w:rPr>
              <w:t xml:space="preserve">2018</w:t>
            </w:r>
          </w:p>
        </w:tc>
        <w:tc>
          <w:tcPr>
            <w:tcW w:type="dxa" w:w="4470"/>
            <w:tcMar>
              <w:top w:type="dxa" w:w="100"/>
              <w:left w:type="dxa" w:w="120"/>
              <w:bottom w:type="dxa" w:w="100"/>
              <w:right w:type="dxa" w:w="120"/>
            </w:tcMar>
          </w:tcPr>
          <w:p>
            <w:r>
              <w:rPr>
                <w:sz w:val="20"/>
                <w:szCs w:val="20"/>
              </w:rPr>
              <w:t xml:space="preserve">Supplier of the modular chlor-alkali plant announced in June 2018.</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Nuberg EPC</w:t>
            </w:r>
          </w:p>
        </w:tc>
        <w:tc>
          <w:tcPr>
            <w:tcW w:type="dxa" w:w="1620"/>
            <w:tcMar>
              <w:top w:type="dxa" w:w="100"/>
              <w:left w:type="dxa" w:w="120"/>
              <w:bottom w:type="dxa" w:w="100"/>
              <w:right w:type="dxa" w:w="120"/>
            </w:tcMar>
          </w:tcPr>
          <w:p>
            <w:r>
              <w:rPr>
                <w:sz w:val="20"/>
                <w:szCs w:val="20"/>
              </w:rPr>
              <w:t xml:space="preserve">India</w:t>
            </w:r>
          </w:p>
        </w:tc>
        <w:tc>
          <w:tcPr>
            <w:tcW w:type="dxa" w:w="1100"/>
            <w:tcMar>
              <w:top w:type="dxa" w:w="100"/>
              <w:left w:type="dxa" w:w="120"/>
              <w:bottom w:type="dxa" w:w="100"/>
              <w:right w:type="dxa" w:w="120"/>
            </w:tcMar>
          </w:tcPr>
          <w:p>
            <w:r>
              <w:rPr>
                <w:sz w:val="20"/>
                <w:szCs w:val="20"/>
              </w:rPr>
              <w:t xml:space="preserve">2026</w:t>
            </w:r>
          </w:p>
        </w:tc>
        <w:tc>
          <w:tcPr>
            <w:tcW w:type="dxa" w:w="4470"/>
            <w:tcMar>
              <w:top w:type="dxa" w:w="100"/>
              <w:left w:type="dxa" w:w="120"/>
              <w:bottom w:type="dxa" w:w="100"/>
              <w:right w:type="dxa" w:w="120"/>
            </w:tcMar>
          </w:tcPr>
          <w:p>
            <w:r>
              <w:rPr>
                <w:sz w:val="20"/>
                <w:szCs w:val="20"/>
              </w:rPr>
              <w:t xml:space="preserve">Awarded the turnkey contract (review, design, procurement, installation, construction, commissioning) for the 45 tpd chlor-alkali plant at Mlandizi; commissioning targeted January 2027. The current build counterparty.</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FirePro Systems</w:t>
            </w:r>
          </w:p>
        </w:tc>
        <w:tc>
          <w:tcPr>
            <w:tcW w:type="dxa" w:w="1620"/>
            <w:tcMar>
              <w:top w:type="dxa" w:w="100"/>
              <w:left w:type="dxa" w:w="120"/>
              <w:bottom w:type="dxa" w:w="100"/>
              <w:right w:type="dxa" w:w="120"/>
            </w:tcMar>
          </w:tcPr>
          <w:p>
            <w:r>
              <w:rPr>
                <w:sz w:val="20"/>
                <w:szCs w:val="20"/>
              </w:rPr>
              <w:t xml:space="preserve">Cyprus</w:t>
            </w:r>
          </w:p>
        </w:tc>
        <w:tc>
          <w:tcPr>
            <w:tcW w:type="dxa" w:w="1100"/>
            <w:tcMar>
              <w:top w:type="dxa" w:w="100"/>
              <w:left w:type="dxa" w:w="120"/>
              <w:bottom w:type="dxa" w:w="100"/>
              <w:right w:type="dxa" w:w="120"/>
            </w:tcMar>
          </w:tcPr>
          <w:p>
            <w:r>
              <w:rPr>
                <w:sz w:val="20"/>
                <w:szCs w:val="20"/>
              </w:rPr>
              <w:t xml:space="preserve">2016</w:t>
            </w:r>
          </w:p>
        </w:tc>
        <w:tc>
          <w:tcPr>
            <w:tcW w:type="dxa" w:w="4470"/>
            <w:tcMar>
              <w:top w:type="dxa" w:w="100"/>
              <w:left w:type="dxa" w:w="120"/>
              <w:bottom w:type="dxa" w:w="100"/>
              <w:right w:type="dxa" w:w="120"/>
            </w:tcMar>
          </w:tcPr>
          <w:p>
            <w:r>
              <w:rPr>
                <w:sz w:val="20"/>
                <w:szCs w:val="20"/>
              </w:rPr>
              <w:t xml:space="preserve">Distribution partnership: Junaco distributes the FirePro condensed-aerosol fire suppression system into the Tanzanian market. Announced by FirePro on its own channels.</w:t>
            </w:r>
            <w:r>
              <w:rPr>
                <w:b/>
                <w:bCs/>
                <w:color w:val="166534"/>
                <w:sz w:val="18"/>
                <w:szCs w:val="18"/>
              </w:rPr>
              <w:t xml:space="preserve">  [VERIFIED]</w:t>
            </w:r>
          </w:p>
        </w:tc>
      </w:tr>
    </w:tbl>
    <w:p>
      <w:pPr>
        <w:spacing w:after="60"/>
      </w:pPr>
    </w:p>
    <w:p>
      <w:pPr>
        <w:spacing w:after="200"/>
      </w:pPr>
      <w:r>
        <w:rPr>
          <w:i/>
          <w:iCs/>
          <w:color w:val="6B7280"/>
          <w:sz w:val="18"/>
          <w:szCs w:val="18"/>
        </w:rPr>
        <w:t xml:space="preserve">Sources: Serba Dinamik and Bursa Malaysia filings via The Edge Malaysia and The Star; Mining.com; Nuberg EPC announcements via Hydrocarbon Processing, Hydrocarbon Engineering, Chemical Online and Fiinews; firepro.com partnership announcement; The Exchange Africa.</w:t>
      </w:r>
    </w:p>
    <w:p>
      <w:pPr>
        <w:pStyle w:val="Heading2"/>
        <w:keepNext/>
        <w:spacing w:after="120" w:before="260"/>
      </w:pPr>
      <w:r>
        <w:t xml:space="preserve">3.5 Financial counterparties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Counterparty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Period</w:t>
            </w:r>
          </w:p>
        </w:tc>
        <w:tc>
          <w:tcPr>
            <w:tcW w:type="dxa" w:w="4470"/>
            <w:shd w:fill="F2F2F2" w:color="auto" w:val="clear"/>
            <w:tcMar>
              <w:top w:type="dxa" w:w="100"/>
              <w:left w:type="dxa" w:w="120"/>
              <w:bottom w:type="dxa" w:w="100"/>
              <w:right w:type="dxa" w:w="120"/>
            </w:tcMar>
          </w:tcPr>
          <w:p>
            <w:r>
              <w:rPr>
                <w:b/>
                <w:bCs/>
                <w:sz w:val="20"/>
                <w:szCs w:val="20"/>
              </w:rPr>
              <w:t xml:space="preserve">Nature of connection</w:t>
            </w:r>
          </w:p>
        </w:tc>
      </w:tr>
      <w:tr>
        <w:tc>
          <w:tcPr>
            <w:tcW w:type="dxa" w:w="2350"/>
            <w:tcMar>
              <w:top w:type="dxa" w:w="100"/>
              <w:left w:type="dxa" w:w="120"/>
              <w:bottom w:type="dxa" w:w="100"/>
              <w:right w:type="dxa" w:w="120"/>
            </w:tcMar>
          </w:tcPr>
          <w:p>
            <w:r>
              <w:rPr>
                <w:sz w:val="20"/>
                <w:szCs w:val="20"/>
              </w:rPr>
              <w:t xml:space="preserve">DFCU Bank Limited</w:t>
            </w:r>
          </w:p>
        </w:tc>
        <w:tc>
          <w:tcPr>
            <w:tcW w:type="dxa" w:w="1620"/>
            <w:tcMar>
              <w:top w:type="dxa" w:w="100"/>
              <w:left w:type="dxa" w:w="120"/>
              <w:bottom w:type="dxa" w:w="100"/>
              <w:right w:type="dxa" w:w="120"/>
            </w:tcMar>
          </w:tcPr>
          <w:p>
            <w:r>
              <w:rPr>
                <w:sz w:val="20"/>
                <w:szCs w:val="20"/>
              </w:rPr>
              <w:t xml:space="preserve">Uganda</w:t>
            </w:r>
          </w:p>
        </w:tc>
        <w:tc>
          <w:tcPr>
            <w:tcW w:type="dxa" w:w="1100"/>
            <w:tcMar>
              <w:top w:type="dxa" w:w="100"/>
              <w:left w:type="dxa" w:w="120"/>
              <w:bottom w:type="dxa" w:w="100"/>
              <w:right w:type="dxa" w:w="120"/>
            </w:tcMar>
          </w:tcPr>
          <w:p>
            <w:r>
              <w:rPr>
                <w:sz w:val="20"/>
                <w:szCs w:val="20"/>
              </w:rPr>
              <w:t xml:space="preserve">to 2023</w:t>
            </w:r>
          </w:p>
        </w:tc>
        <w:tc>
          <w:tcPr>
            <w:tcW w:type="dxa" w:w="4470"/>
            <w:tcMar>
              <w:top w:type="dxa" w:w="100"/>
              <w:left w:type="dxa" w:w="120"/>
              <w:bottom w:type="dxa" w:w="100"/>
              <w:right w:type="dxa" w:w="120"/>
            </w:tcMar>
          </w:tcPr>
          <w:p>
            <w:r>
              <w:rPr>
                <w:sz w:val="20"/>
                <w:szCs w:val="20"/>
              </w:rPr>
              <w:t xml:space="preserve">Lender. Sued Junaco (T) Limited for recovery of approximately UGX 12.8 billion arising from three facilities: a Performance Guarantee Limit of UGX 1.2bn, an Import Loan Facility of c. UGX 7.4bn, and an unsecured Invoice Discounting Facility of UGX 200m. Applications to stay execution were dismissed at first instance and on appeal in 2023. See 4.3.</w:t>
            </w:r>
            <w:r>
              <w:rPr>
                <w:b/>
                <w:bCs/>
                <w:color w:val="B45309"/>
                <w:sz w:val="18"/>
                <w:szCs w:val="18"/>
              </w:rPr>
              <w:t xml:space="preserve">  [PARTIALLY VERIFIED]</w:t>
            </w:r>
          </w:p>
        </w:tc>
      </w:tr>
      <w:tr>
        <w:tc>
          <w:tcPr>
            <w:tcW w:type="dxa" w:w="2350"/>
            <w:tcMar>
              <w:top w:type="dxa" w:w="100"/>
              <w:left w:type="dxa" w:w="120"/>
              <w:bottom w:type="dxa" w:w="100"/>
              <w:right w:type="dxa" w:w="120"/>
            </w:tcMar>
          </w:tcPr>
          <w:p>
            <w:r>
              <w:rPr>
                <w:sz w:val="20"/>
                <w:szCs w:val="20"/>
              </w:rPr>
              <w:t xml:space="preserve">Equity Bank (Tanzania) Limited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to 2022</w:t>
            </w:r>
          </w:p>
        </w:tc>
        <w:tc>
          <w:tcPr>
            <w:tcW w:type="dxa" w:w="4470"/>
            <w:tcMar>
              <w:top w:type="dxa" w:w="100"/>
              <w:left w:type="dxa" w:w="120"/>
              <w:bottom w:type="dxa" w:w="100"/>
              <w:right w:type="dxa" w:w="120"/>
            </w:tcMar>
          </w:tcPr>
          <w:p>
            <w:r>
              <w:rPr>
                <w:sz w:val="20"/>
                <w:szCs w:val="20"/>
              </w:rPr>
              <w:t xml:space="preserve">Counterparty in Land Case No. 120 of 2021 in the High Court of Tanzania (Land Division), decided 14 February 2022. A land-division forum is consistent with a dispute over mortgaged security rather than a simple debt claim. See 4.2.</w:t>
            </w:r>
            <w:r>
              <w:rPr>
                <w:b/>
                <w:bCs/>
                <w:color w:val="B45309"/>
                <w:sz w:val="18"/>
                <w:szCs w:val="18"/>
              </w:rPr>
              <w:t xml:space="preserve">  [PARTIALLY VERIFIED]</w:t>
            </w:r>
          </w:p>
        </w:tc>
      </w:tr>
    </w:tbl>
    <w:p>
      <w:pPr>
        <w:spacing w:after="100"/>
      </w:pPr>
    </w:p>
    <w:p>
      <w:pPr>
        <w:spacing w:after="140"/>
      </w:pPr>
      <w:r>
        <w:t xml:space="preserve">No other named lender was identified in open sources. Given the scale of the group's trading operations and the reported Import Loan Facility structure, it is very unlikely that these are the only two banking relationships — the absence of others in the public record reflects that only disputed relationships reach law reports, and should not be read as an absence of borrowing.</w:t>
      </w:r>
    </w:p>
    <w:p>
      <w:pPr>
        <w:spacing w:after="200"/>
      </w:pPr>
      <w:r>
        <w:rPr>
          <w:i/>
          <w:iCs/>
          <w:color w:val="6B7280"/>
          <w:sz w:val="18"/>
          <w:szCs w:val="18"/>
        </w:rPr>
        <w:t xml:space="preserve">Sources: ULII (Uganda Legal Information Institute) case index; TanzLII (Tanzania Legal Information Institute) case index.</w:t>
      </w:r>
    </w:p>
    <w:p>
      <w:pPr>
        <w:pStyle w:val="Heading2"/>
        <w:keepNext/>
        <w:spacing w:after="120" w:before="260"/>
      </w:pPr>
      <w:r>
        <w:t xml:space="preserve">3.6 Institutional customers and offtakers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Counterparty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Period</w:t>
            </w:r>
          </w:p>
        </w:tc>
        <w:tc>
          <w:tcPr>
            <w:tcW w:type="dxa" w:w="4470"/>
            <w:shd w:fill="F2F2F2" w:color="auto" w:val="clear"/>
            <w:tcMar>
              <w:top w:type="dxa" w:w="100"/>
              <w:left w:type="dxa" w:w="120"/>
              <w:bottom w:type="dxa" w:w="100"/>
              <w:right w:type="dxa" w:w="120"/>
            </w:tcMar>
          </w:tcPr>
          <w:p>
            <w:r>
              <w:rPr>
                <w:b/>
                <w:bCs/>
                <w:sz w:val="20"/>
                <w:szCs w:val="20"/>
              </w:rPr>
              <w:t xml:space="preserve">Nature of connection</w:t>
            </w:r>
          </w:p>
        </w:tc>
      </w:tr>
      <w:tr>
        <w:tc>
          <w:tcPr>
            <w:tcW w:type="dxa" w:w="2350"/>
            <w:tcMar>
              <w:top w:type="dxa" w:w="100"/>
              <w:left w:type="dxa" w:w="120"/>
              <w:bottom w:type="dxa" w:w="100"/>
              <w:right w:type="dxa" w:w="120"/>
            </w:tcMar>
          </w:tcPr>
          <w:p>
            <w:r>
              <w:rPr>
                <w:sz w:val="20"/>
                <w:szCs w:val="20"/>
              </w:rPr>
              <w:t xml:space="preserve">World Bank Group</w:t>
            </w:r>
          </w:p>
        </w:tc>
        <w:tc>
          <w:tcPr>
            <w:tcW w:type="dxa" w:w="1620"/>
            <w:tcMar>
              <w:top w:type="dxa" w:w="100"/>
              <w:left w:type="dxa" w:w="120"/>
              <w:bottom w:type="dxa" w:w="100"/>
              <w:right w:type="dxa" w:w="120"/>
            </w:tcMar>
          </w:tcPr>
          <w:p>
            <w:r>
              <w:rPr>
                <w:sz w:val="20"/>
                <w:szCs w:val="20"/>
              </w:rPr>
              <w:t xml:space="preserve">Multilateral</w:t>
            </w:r>
          </w:p>
        </w:tc>
        <w:tc>
          <w:tcPr>
            <w:tcW w:type="dxa" w:w="1100"/>
            <w:tcMar>
              <w:top w:type="dxa" w:w="100"/>
              <w:left w:type="dxa" w:w="120"/>
              <w:bottom w:type="dxa" w:w="100"/>
              <w:right w:type="dxa" w:w="120"/>
            </w:tcMar>
          </w:tcPr>
          <w:p>
            <w:r>
              <w:rPr>
                <w:sz w:val="20"/>
                <w:szCs w:val="20"/>
              </w:rPr>
              <w:t xml:space="preserve">various</w:t>
            </w:r>
          </w:p>
        </w:tc>
        <w:tc>
          <w:tcPr>
            <w:tcW w:type="dxa" w:w="4470"/>
            <w:tcMar>
              <w:top w:type="dxa" w:w="100"/>
              <w:left w:type="dxa" w:w="120"/>
              <w:bottom w:type="dxa" w:w="100"/>
              <w:right w:type="dxa" w:w="120"/>
            </w:tcMar>
          </w:tcPr>
          <w:p>
            <w:r>
              <w:rPr>
                <w:sz w:val="20"/>
                <w:szCs w:val="20"/>
              </w:rPr>
              <w:t xml:space="preserve">Four recorded contract awards: PVC pipe fittings for network rehabilitation; water meters for distribution; domestic water meters for utility modernisation; and the emergency REGIDESO calcium hypochlorite supply.</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Japan International Cooperation Agency (JICA)</w:t>
            </w:r>
          </w:p>
        </w:tc>
        <w:tc>
          <w:tcPr>
            <w:tcW w:type="dxa" w:w="1620"/>
            <w:tcMar>
              <w:top w:type="dxa" w:w="100"/>
              <w:left w:type="dxa" w:w="120"/>
              <w:bottom w:type="dxa" w:w="100"/>
              <w:right w:type="dxa" w:w="120"/>
            </w:tcMar>
          </w:tcPr>
          <w:p>
            <w:r>
              <w:rPr>
                <w:sz w:val="20"/>
                <w:szCs w:val="20"/>
              </w:rPr>
              <w:t xml:space="preserve">Multilateral</w:t>
            </w:r>
          </w:p>
        </w:tc>
        <w:tc>
          <w:tcPr>
            <w:tcW w:type="dxa" w:w="1100"/>
            <w:tcMar>
              <w:top w:type="dxa" w:w="100"/>
              <w:left w:type="dxa" w:w="120"/>
              <w:bottom w:type="dxa" w:w="100"/>
              <w:right w:type="dxa" w:w="120"/>
            </w:tcMar>
          </w:tcPr>
          <w:p>
            <w:r>
              <w:rPr>
                <w:sz w:val="20"/>
                <w:szCs w:val="20"/>
              </w:rPr>
              <w:t xml:space="preserve">various</w:t>
            </w:r>
          </w:p>
        </w:tc>
        <w:tc>
          <w:tcPr>
            <w:tcW w:type="dxa" w:w="4470"/>
            <w:tcMar>
              <w:top w:type="dxa" w:w="100"/>
              <w:left w:type="dxa" w:w="120"/>
              <w:bottom w:type="dxa" w:w="100"/>
              <w:right w:type="dxa" w:w="120"/>
            </w:tcMar>
          </w:tcPr>
          <w:p>
            <w:r>
              <w:rPr>
                <w:sz w:val="20"/>
                <w:szCs w:val="20"/>
              </w:rPr>
              <w:t xml:space="preserve">Two recorded awards for procurement of water treatment chemicals.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African Development Bank</w:t>
            </w:r>
          </w:p>
        </w:tc>
        <w:tc>
          <w:tcPr>
            <w:tcW w:type="dxa" w:w="1620"/>
            <w:tcMar>
              <w:top w:type="dxa" w:w="100"/>
              <w:left w:type="dxa" w:w="120"/>
              <w:bottom w:type="dxa" w:w="100"/>
              <w:right w:type="dxa" w:w="120"/>
            </w:tcMar>
          </w:tcPr>
          <w:p>
            <w:r>
              <w:rPr>
                <w:sz w:val="20"/>
                <w:szCs w:val="20"/>
              </w:rPr>
              <w:t xml:space="preserve">Multilateral</w:t>
            </w:r>
          </w:p>
        </w:tc>
        <w:tc>
          <w:tcPr>
            <w:tcW w:type="dxa" w:w="1100"/>
            <w:tcMar>
              <w:top w:type="dxa" w:w="100"/>
              <w:left w:type="dxa" w:w="120"/>
              <w:bottom w:type="dxa" w:w="100"/>
              <w:right w:type="dxa" w:w="120"/>
            </w:tcMar>
          </w:tcPr>
          <w:p>
            <w:r>
              <w:rPr>
                <w:sz w:val="20"/>
                <w:szCs w:val="20"/>
              </w:rPr>
              <w:t xml:space="preserve">various</w:t>
            </w:r>
          </w:p>
        </w:tc>
        <w:tc>
          <w:tcPr>
            <w:tcW w:type="dxa" w:w="4470"/>
            <w:tcMar>
              <w:top w:type="dxa" w:w="100"/>
              <w:left w:type="dxa" w:w="120"/>
              <w:bottom w:type="dxa" w:w="100"/>
              <w:right w:type="dxa" w:w="120"/>
            </w:tcMar>
          </w:tcPr>
          <w:p>
            <w:r>
              <w:rPr>
                <w:sz w:val="20"/>
                <w:szCs w:val="20"/>
              </w:rPr>
              <w:t xml:space="preserve">One recorded award for supply of water meters.</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REGIDESO</w:t>
            </w:r>
          </w:p>
        </w:tc>
        <w:tc>
          <w:tcPr>
            <w:tcW w:type="dxa" w:w="1620"/>
            <w:tcMar>
              <w:top w:type="dxa" w:w="100"/>
              <w:left w:type="dxa" w:w="120"/>
              <w:bottom w:type="dxa" w:w="100"/>
              <w:right w:type="dxa" w:w="120"/>
            </w:tcMar>
          </w:tcPr>
          <w:p>
            <w:r>
              <w:rPr>
                <w:sz w:val="20"/>
                <w:szCs w:val="20"/>
              </w:rPr>
              <w:t xml:space="preserve">DRC</w:t>
            </w:r>
          </w:p>
        </w:tc>
        <w:tc>
          <w:tcPr>
            <w:tcW w:type="dxa" w:w="1100"/>
            <w:tcMar>
              <w:top w:type="dxa" w:w="100"/>
              <w:left w:type="dxa" w:w="120"/>
              <w:bottom w:type="dxa" w:w="100"/>
              <w:right w:type="dxa" w:w="120"/>
            </w:tcMar>
          </w:tcPr>
          <w:p>
            <w:r>
              <w:rPr>
                <w:sz w:val="20"/>
                <w:szCs w:val="20"/>
              </w:rPr>
              <w:t xml:space="preserve">2020</w:t>
            </w:r>
          </w:p>
        </w:tc>
        <w:tc>
          <w:tcPr>
            <w:tcW w:type="dxa" w:w="4470"/>
            <w:tcMar>
              <w:top w:type="dxa" w:w="100"/>
              <w:left w:type="dxa" w:w="120"/>
              <w:bottom w:type="dxa" w:w="100"/>
              <w:right w:type="dxa" w:w="120"/>
            </w:tcMar>
          </w:tcPr>
          <w:p>
            <w:r>
              <w:rPr>
                <w:sz w:val="20"/>
                <w:szCs w:val="20"/>
              </w:rPr>
              <w:t xml:space="preserve">National water utility; recipient of an emergency supply of 70 tonnes of calcium hypochlorite under the World Bank-funded anti-coronavirus response.</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National Water and Sewerage Corporation (NWSC)</w:t>
            </w:r>
          </w:p>
        </w:tc>
        <w:tc>
          <w:tcPr>
            <w:tcW w:type="dxa" w:w="1620"/>
            <w:tcMar>
              <w:top w:type="dxa" w:w="100"/>
              <w:left w:type="dxa" w:w="120"/>
              <w:bottom w:type="dxa" w:w="100"/>
              <w:right w:type="dxa" w:w="120"/>
            </w:tcMar>
          </w:tcPr>
          <w:p>
            <w:r>
              <w:rPr>
                <w:sz w:val="20"/>
                <w:szCs w:val="20"/>
              </w:rPr>
              <w:t xml:space="preserve">Uganda</w:t>
            </w:r>
          </w:p>
        </w:tc>
        <w:tc>
          <w:tcPr>
            <w:tcW w:type="dxa" w:w="1100"/>
            <w:tcMar>
              <w:top w:type="dxa" w:w="100"/>
              <w:left w:type="dxa" w:w="120"/>
              <w:bottom w:type="dxa" w:w="100"/>
              <w:right w:type="dxa" w:w="120"/>
            </w:tcMar>
          </w:tcPr>
          <w:p>
            <w:r>
              <w:rPr>
                <w:sz w:val="20"/>
                <w:szCs w:val="20"/>
              </w:rPr>
              <w:t xml:space="preserve">to 2023</w:t>
            </w:r>
          </w:p>
        </w:tc>
        <w:tc>
          <w:tcPr>
            <w:tcW w:type="dxa" w:w="4470"/>
            <w:tcMar>
              <w:top w:type="dxa" w:w="100"/>
              <w:left w:type="dxa" w:w="120"/>
              <w:bottom w:type="dxa" w:w="100"/>
              <w:right w:type="dxa" w:w="120"/>
            </w:tcMar>
          </w:tcPr>
          <w:p>
            <w:r>
              <w:rPr>
                <w:sz w:val="20"/>
                <w:szCs w:val="20"/>
              </w:rPr>
              <w:t xml:space="preserve">Utility customer for a water-meter supply contract. Identified through the DFCU Bank litigation, where performance of this contract was the stated purpose of the disputed facilities — which makes it the largest single commercial engagement quantifiable from the public record.</w:t>
            </w:r>
            <w:r>
              <w:rPr>
                <w:b/>
                <w:bCs/>
                <w:color w:val="B45309"/>
                <w:sz w:val="18"/>
                <w:szCs w:val="18"/>
              </w:rPr>
              <w:t xml:space="preserve">  [PARTIALLY VERIFIED]</w:t>
            </w:r>
          </w:p>
        </w:tc>
      </w:tr>
      <w:tr>
        <w:tc>
          <w:tcPr>
            <w:tcW w:type="dxa" w:w="2350"/>
            <w:tcMar>
              <w:top w:type="dxa" w:w="100"/>
              <w:left w:type="dxa" w:w="120"/>
              <w:bottom w:type="dxa" w:w="100"/>
              <w:right w:type="dxa" w:w="120"/>
            </w:tcMar>
          </w:tcPr>
          <w:p>
            <w:r>
              <w:rPr>
                <w:sz w:val="20"/>
                <w:szCs w:val="20"/>
              </w:rPr>
              <w:t xml:space="preserve">Ministry of Finance and Accountant General's office</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c. 2000–02</w:t>
            </w:r>
          </w:p>
        </w:tc>
        <w:tc>
          <w:tcPr>
            <w:tcW w:type="dxa" w:w="4470"/>
            <w:tcMar>
              <w:top w:type="dxa" w:w="100"/>
              <w:left w:type="dxa" w:w="120"/>
              <w:bottom w:type="dxa" w:w="100"/>
              <w:right w:type="dxa" w:w="120"/>
            </w:tcMar>
          </w:tcPr>
          <w:p>
            <w:r>
              <w:rPr>
                <w:sz w:val="20"/>
                <w:szCs w:val="20"/>
              </w:rPr>
              <w:t xml:space="preserve">Early institutional customer for imported firefighting equipment, per the group's own founding history.</w:t>
            </w:r>
            <w:r>
              <w:rPr>
                <w:b/>
                <w:bCs/>
                <w:color w:val="166534"/>
                <w:sz w:val="18"/>
                <w:szCs w:val="18"/>
              </w:rPr>
              <w:t xml:space="preserve">  [VERIFIED]</w:t>
            </w:r>
          </w:p>
        </w:tc>
      </w:tr>
    </w:tbl>
    <w:p>
      <w:pPr>
        <w:spacing w:after="60"/>
      </w:pPr>
    </w:p>
    <w:p>
      <w:pPr>
        <w:spacing w:after="200"/>
      </w:pPr>
      <w:r>
        <w:rPr>
          <w:i/>
          <w:iCs/>
          <w:color w:val="6B7280"/>
          <w:sz w:val="18"/>
          <w:szCs w:val="18"/>
        </w:rPr>
        <w:t xml:space="preserve">Sources: Devex organization profile, “Experience / Contract Awards”; junacogroup.com; ULII case index.</w:t>
      </w:r>
    </w:p>
    <w:p>
      <w:pPr>
        <w:pStyle w:val="Heading2"/>
        <w:keepNext/>
        <w:spacing w:after="120" w:before="260"/>
      </w:pPr>
      <w:r>
        <w:t xml:space="preserve">3.7 Litigation counterparties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Counterparty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Period</w:t>
            </w:r>
          </w:p>
        </w:tc>
        <w:tc>
          <w:tcPr>
            <w:tcW w:type="dxa" w:w="4470"/>
            <w:shd w:fill="F2F2F2" w:color="auto" w:val="clear"/>
            <w:tcMar>
              <w:top w:type="dxa" w:w="100"/>
              <w:left w:type="dxa" w:w="120"/>
              <w:bottom w:type="dxa" w:w="100"/>
              <w:right w:type="dxa" w:w="120"/>
            </w:tcMar>
          </w:tcPr>
          <w:p>
            <w:r>
              <w:rPr>
                <w:b/>
                <w:bCs/>
                <w:sz w:val="20"/>
                <w:szCs w:val="20"/>
              </w:rPr>
              <w:t xml:space="preserve">Nature of connection</w:t>
            </w:r>
          </w:p>
        </w:tc>
      </w:tr>
      <w:tr>
        <w:tc>
          <w:tcPr>
            <w:tcW w:type="dxa" w:w="2350"/>
            <w:tcMar>
              <w:top w:type="dxa" w:w="100"/>
              <w:left w:type="dxa" w:w="120"/>
              <w:bottom w:type="dxa" w:w="100"/>
              <w:right w:type="dxa" w:w="120"/>
            </w:tcMar>
          </w:tcPr>
          <w:p>
            <w:r>
              <w:rPr>
                <w:sz w:val="20"/>
                <w:szCs w:val="20"/>
              </w:rPr>
              <w:t xml:space="preserve">Harel Mallac (Tanzania) Ltd</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2014–2022</w:t>
            </w:r>
          </w:p>
        </w:tc>
        <w:tc>
          <w:tcPr>
            <w:tcW w:type="dxa" w:w="4470"/>
            <w:tcMar>
              <w:top w:type="dxa" w:w="100"/>
              <w:left w:type="dxa" w:w="120"/>
              <w:bottom w:type="dxa" w:w="100"/>
              <w:right w:type="dxa" w:w="120"/>
            </w:tcMar>
          </w:tcPr>
          <w:p>
            <w:r>
              <w:rPr>
                <w:sz w:val="20"/>
                <w:szCs w:val="20"/>
              </w:rPr>
              <w:t xml:space="preserve">Commercial counterparty and the longest-running identified dispute: Commercial Case No. 159 of 2014, a Court of Appeal decision in 2018, and execution proceedings still live in 2022. This is the counterparty behind the previously unidentified Court of Appeal citation. Understood to be the Tanzanian arm of the Mauritian Harel Mallac group, which has not been independently confirmed here.</w:t>
            </w:r>
            <w:r>
              <w:rPr>
                <w:b/>
                <w:bCs/>
                <w:color w:val="B45309"/>
                <w:sz w:val="18"/>
                <w:szCs w:val="18"/>
              </w:rPr>
              <w:t xml:space="preserve">  [PARTIALLY VERIFIED]</w:t>
            </w:r>
          </w:p>
        </w:tc>
      </w:tr>
      <w:tr>
        <w:tc>
          <w:tcPr>
            <w:tcW w:type="dxa" w:w="2350"/>
            <w:tcMar>
              <w:top w:type="dxa" w:w="100"/>
              <w:left w:type="dxa" w:w="120"/>
              <w:bottom w:type="dxa" w:w="100"/>
              <w:right w:type="dxa" w:w="120"/>
            </w:tcMar>
          </w:tcPr>
          <w:p>
            <w:r>
              <w:rPr>
                <w:sz w:val="20"/>
                <w:szCs w:val="20"/>
              </w:rPr>
              <w:t xml:space="preserve">Jitesh Jayantilal Ladwa and others</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2022</w:t>
            </w:r>
          </w:p>
        </w:tc>
        <w:tc>
          <w:tcPr>
            <w:tcW w:type="dxa" w:w="4470"/>
            <w:tcMar>
              <w:top w:type="dxa" w:w="100"/>
              <w:left w:type="dxa" w:w="120"/>
              <w:bottom w:type="dxa" w:w="100"/>
              <w:right w:type="dxa" w:w="120"/>
            </w:tcMar>
          </w:tcPr>
          <w:p>
            <w:r>
              <w:rPr>
                <w:sz w:val="20"/>
                <w:szCs w:val="20"/>
              </w:rPr>
              <w:t xml:space="preserve">Not a Junaco counterparty. Their Civil Appeal No. 435 of 2020 is simply the judgment whose list of authorities cited the Junaco/Lambert case — which is how the citation first surfaced. Recorded here to close the loop and prevent it being mistaken for a connected party.</w:t>
            </w:r>
            <w:r>
              <w:rPr>
                <w:b/>
                <w:bCs/>
                <w:color w:val="166534"/>
                <w:sz w:val="18"/>
                <w:szCs w:val="18"/>
              </w:rPr>
              <w:t xml:space="preserve">  [VERIFIED]</w:t>
            </w:r>
          </w:p>
        </w:tc>
      </w:tr>
    </w:tbl>
    <w:p>
      <w:pPr>
        <w:spacing w:after="60"/>
      </w:pPr>
    </w:p>
    <w:p>
      <w:pPr>
        <w:spacing w:after="200"/>
      </w:pPr>
      <w:r>
        <w:rPr>
          <w:i/>
          <w:iCs/>
          <w:color w:val="6B7280"/>
          <w:sz w:val="18"/>
          <w:szCs w:val="18"/>
        </w:rPr>
        <w:t xml:space="preserve">Sources: TanzLII case index; Tanzania Attorney General's e-library (elibrary.osg.go.tz) citation list.</w:t>
      </w:r>
    </w:p>
    <w:p>
      <w:pPr>
        <w:pStyle w:val="Heading2"/>
        <w:keepNext/>
        <w:spacing w:after="120" w:before="260"/>
      </w:pPr>
      <w:r>
        <w:t xml:space="preserve">3.8 Connected natural persons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100"/>
        <w:gridCol w:w="44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Person</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100"/>
            <w:shd w:fill="F2F2F2" w:color="auto" w:val="clear"/>
            <w:tcMar>
              <w:top w:type="dxa" w:w="100"/>
              <w:left w:type="dxa" w:w="120"/>
              <w:bottom w:type="dxa" w:w="100"/>
              <w:right w:type="dxa" w:w="120"/>
            </w:tcMar>
          </w:tcPr>
          <w:p>
            <w:r>
              <w:rPr>
                <w:b/>
                <w:bCs/>
                <w:sz w:val="20"/>
                <w:szCs w:val="20"/>
              </w:rPr>
              <w:t xml:space="preserve">Period</w:t>
            </w:r>
          </w:p>
        </w:tc>
        <w:tc>
          <w:tcPr>
            <w:tcW w:type="dxa" w:w="4470"/>
            <w:shd w:fill="F2F2F2" w:color="auto" w:val="clear"/>
            <w:tcMar>
              <w:top w:type="dxa" w:w="100"/>
              <w:left w:type="dxa" w:w="120"/>
              <w:bottom w:type="dxa" w:w="100"/>
              <w:right w:type="dxa" w:w="120"/>
            </w:tcMar>
          </w:tcPr>
          <w:p>
            <w:r>
              <w:rPr>
                <w:b/>
                <w:bCs/>
                <w:sz w:val="20"/>
                <w:szCs w:val="20"/>
              </w:rPr>
              <w:t xml:space="preserve">Nature of connection</w:t>
            </w:r>
          </w:p>
        </w:tc>
      </w:tr>
      <w:tr>
        <w:tc>
          <w:tcPr>
            <w:tcW w:type="dxa" w:w="2350"/>
            <w:tcMar>
              <w:top w:type="dxa" w:w="100"/>
              <w:left w:type="dxa" w:w="120"/>
              <w:bottom w:type="dxa" w:w="100"/>
              <w:right w:type="dxa" w:w="120"/>
            </w:tcMar>
          </w:tcPr>
          <w:p>
            <w:r>
              <w:rPr>
                <w:sz w:val="20"/>
                <w:szCs w:val="20"/>
              </w:rPr>
              <w:t xml:space="preserve">Justin Lambert / Justinian Lambert</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2000–</w:t>
            </w:r>
          </w:p>
        </w:tc>
        <w:tc>
          <w:tcPr>
            <w:tcW w:type="dxa" w:w="4470"/>
            <w:tcMar>
              <w:top w:type="dxa" w:w="100"/>
              <w:left w:type="dxa" w:w="120"/>
              <w:bottom w:type="dxa" w:w="100"/>
              <w:right w:type="dxa" w:w="120"/>
            </w:tcMar>
          </w:tcPr>
          <w:p>
            <w:r>
              <w:rPr>
                <w:sz w:val="20"/>
                <w:szCs w:val="20"/>
              </w:rPr>
              <w:t xml:space="preserve">Founder, Chairman and Group CEO; Managing Director of Junaco (T) Ltd; founder of Shift Cargo Limited; the acquiring principal at Marungu Plantation. Named personally as a party in Tanzanian and Ugandan proceedings under both forms of the name.</w:t>
            </w:r>
            <w:r>
              <w:rPr>
                <w:b/>
                <w:bCs/>
                <w:color w:val="166534"/>
                <w:sz w:val="18"/>
                <w:szCs w:val="18"/>
              </w:rPr>
              <w:t xml:space="preserve">  [VERIFIED]</w:t>
            </w:r>
          </w:p>
        </w:tc>
      </w:tr>
      <w:tr>
        <w:tc>
          <w:tcPr>
            <w:tcW w:type="dxa" w:w="2350"/>
            <w:tcMar>
              <w:top w:type="dxa" w:w="100"/>
              <w:left w:type="dxa" w:w="120"/>
              <w:bottom w:type="dxa" w:w="100"/>
              <w:right w:type="dxa" w:w="120"/>
            </w:tcMar>
          </w:tcPr>
          <w:p>
            <w:r>
              <w:rPr>
                <w:sz w:val="20"/>
                <w:szCs w:val="20"/>
              </w:rPr>
              <w:t xml:space="preserve">Vedastina Justinian</w:t>
            </w:r>
          </w:p>
        </w:tc>
        <w:tc>
          <w:tcPr>
            <w:tcW w:type="dxa" w:w="1620"/>
            <w:tcMar>
              <w:top w:type="dxa" w:w="100"/>
              <w:left w:type="dxa" w:w="120"/>
              <w:bottom w:type="dxa" w:w="100"/>
              <w:right w:type="dxa" w:w="120"/>
            </w:tcMar>
          </w:tcPr>
          <w:p>
            <w:r>
              <w:rPr>
                <w:sz w:val="20"/>
                <w:szCs w:val="20"/>
              </w:rPr>
              <w:t xml:space="preserve">Uganda / Tanzania</w:t>
            </w:r>
          </w:p>
        </w:tc>
        <w:tc>
          <w:tcPr>
            <w:tcW w:type="dxa" w:w="1100"/>
            <w:tcMar>
              <w:top w:type="dxa" w:w="100"/>
              <w:left w:type="dxa" w:w="120"/>
              <w:bottom w:type="dxa" w:w="100"/>
              <w:right w:type="dxa" w:w="120"/>
            </w:tcMar>
          </w:tcPr>
          <w:p>
            <w:r>
              <w:rPr>
                <w:sz w:val="20"/>
                <w:szCs w:val="20"/>
              </w:rPr>
              <w:t xml:space="preserve">to 2023</w:t>
            </w:r>
          </w:p>
        </w:tc>
        <w:tc>
          <w:tcPr>
            <w:tcW w:type="dxa" w:w="4470"/>
            <w:tcMar>
              <w:top w:type="dxa" w:w="100"/>
              <w:left w:type="dxa" w:w="120"/>
              <w:bottom w:type="dxa" w:w="100"/>
              <w:right w:type="dxa" w:w="120"/>
            </w:tcMar>
          </w:tcPr>
          <w:p>
            <w:r>
              <w:rPr>
                <w:sz w:val="20"/>
                <w:szCs w:val="20"/>
              </w:rPr>
              <w:t xml:space="preserve">Third applicant, alongside Junaco (T) Limited and Justinian Lambert, in the Ugandan DFCU Bank proceedings — which places her within the obligor or guarantor group for the facilities in dispute. The relationship to Lambert is not stated in the retrieved material and the patronymic form of the name should not be read as establishing one. This is a connected person who did not appear in the previous draft at all, and should be included in any screening.</w:t>
            </w:r>
            <w:r>
              <w:rPr>
                <w:b/>
                <w:bCs/>
                <w:color w:val="B45309"/>
                <w:sz w:val="18"/>
                <w:szCs w:val="18"/>
              </w:rPr>
              <w:t xml:space="preserve">  [PARTIALLY VERIFIED]</w:t>
            </w:r>
          </w:p>
        </w:tc>
      </w:tr>
      <w:tr>
        <w:tc>
          <w:tcPr>
            <w:tcW w:type="dxa" w:w="2350"/>
            <w:tcMar>
              <w:top w:type="dxa" w:w="100"/>
              <w:left w:type="dxa" w:w="120"/>
              <w:bottom w:type="dxa" w:w="100"/>
              <w:right w:type="dxa" w:w="120"/>
            </w:tcMar>
          </w:tcPr>
          <w:p>
            <w:r>
              <w:rPr>
                <w:sz w:val="20"/>
                <w:szCs w:val="20"/>
              </w:rPr>
              <w:t xml:space="preserve">Nassor / Nassoro Nkupama</w:t>
            </w:r>
          </w:p>
        </w:tc>
        <w:tc>
          <w:tcPr>
            <w:tcW w:type="dxa" w:w="1620"/>
            <w:tcMar>
              <w:top w:type="dxa" w:w="100"/>
              <w:left w:type="dxa" w:w="120"/>
              <w:bottom w:type="dxa" w:w="100"/>
              <w:right w:type="dxa" w:w="120"/>
            </w:tcMar>
          </w:tcPr>
          <w:p>
            <w:r>
              <w:rPr>
                <w:sz w:val="20"/>
                <w:szCs w:val="20"/>
              </w:rPr>
              <w:t xml:space="preserve">Tanzania</w:t>
            </w:r>
          </w:p>
        </w:tc>
        <w:tc>
          <w:tcPr>
            <w:tcW w:type="dxa" w:w="1100"/>
            <w:tcMar>
              <w:top w:type="dxa" w:w="100"/>
              <w:left w:type="dxa" w:w="120"/>
              <w:bottom w:type="dxa" w:w="100"/>
              <w:right w:type="dxa" w:w="120"/>
            </w:tcMar>
          </w:tcPr>
          <w:p>
            <w:r>
              <w:rPr>
                <w:sz w:val="20"/>
                <w:szCs w:val="20"/>
              </w:rPr>
              <w:t xml:space="preserve">to 2008</w:t>
            </w:r>
          </w:p>
        </w:tc>
        <w:tc>
          <w:tcPr>
            <w:tcW w:type="dxa" w:w="4470"/>
            <w:tcMar>
              <w:top w:type="dxa" w:w="100"/>
              <w:left w:type="dxa" w:w="120"/>
              <w:bottom w:type="dxa" w:w="100"/>
              <w:right w:type="dxa" w:w="120"/>
            </w:tcMar>
          </w:tcPr>
          <w:p>
            <w:r>
              <w:rPr>
                <w:sz w:val="20"/>
                <w:szCs w:val="20"/>
              </w:rPr>
              <w:t xml:space="preserve">Reported co-founder said to have been the subject of litigation seeking a declaration that he ceased to be a shareholder and director after 2008. No corroboration found in any search. See 5.2.</w:t>
            </w:r>
            <w:r>
              <w:rPr>
                <w:b/>
                <w:bCs/>
                <w:color w:val="B91C1C"/>
                <w:sz w:val="18"/>
                <w:szCs w:val="18"/>
              </w:rPr>
              <w:t xml:space="preserve">  [UNVERIFIED — reported]</w:t>
            </w:r>
          </w:p>
        </w:tc>
      </w:tr>
    </w:tbl>
    <w:p>
      <w:pPr>
        <w:spacing w:after="60"/>
      </w:pPr>
    </w:p>
    <w:p>
      <w:pPr>
        <w:spacing w:after="200"/>
      </w:pPr>
      <w:r>
        <w:rPr>
          <w:i/>
          <w:iCs/>
          <w:color w:val="6B7280"/>
          <w:sz w:val="18"/>
          <w:szCs w:val="18"/>
        </w:rPr>
        <w:t xml:space="preserve">Sources: ULII case index; junacogroup.com; LinkedIn; user-supplied material (Nkupama).</w:t>
      </w:r>
    </w:p>
    <w:p>
      <w:pPr>
        <w:pStyle w:val="Heading2"/>
        <w:keepNext/>
        <w:spacing w:after="120" w:before="260"/>
      </w:pPr>
      <w:r>
        <w:t xml:space="preserve">3.9 Attributed but uncorroborated entities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50"/>
        <w:gridCol w:w="1620"/>
        <w:gridCol w:w="1900"/>
        <w:gridCol w:w="3670"/>
      </w:tblGrid>
      <w:tr>
        <w:trPr>
          <w:tblHeader/>
        </w:trPr>
        <w:tc>
          <w:tcPr>
            <w:tcW w:type="dxa" w:w="2350"/>
            <w:shd w:fill="F2F2F2" w:color="auto" w:val="clear"/>
            <w:tcMar>
              <w:top w:type="dxa" w:w="100"/>
              <w:left w:type="dxa" w:w="120"/>
              <w:bottom w:type="dxa" w:w="100"/>
              <w:right w:type="dxa" w:w="120"/>
            </w:tcMar>
          </w:tcPr>
          <w:p>
            <w:r>
              <w:rPr>
                <w:b/>
                <w:bCs/>
                <w:sz w:val="20"/>
                <w:szCs w:val="20"/>
              </w:rPr>
              <w:t xml:space="preserve">Entity</w:t>
            </w:r>
          </w:p>
        </w:tc>
        <w:tc>
          <w:tcPr>
            <w:tcW w:type="dxa" w:w="1620"/>
            <w:shd w:fill="F2F2F2" w:color="auto" w:val="clear"/>
            <w:tcMar>
              <w:top w:type="dxa" w:w="100"/>
              <w:left w:type="dxa" w:w="120"/>
              <w:bottom w:type="dxa" w:w="100"/>
              <w:right w:type="dxa" w:w="120"/>
            </w:tcMar>
          </w:tcPr>
          <w:p>
            <w:r>
              <w:rPr>
                <w:b/>
                <w:bCs/>
                <w:sz w:val="20"/>
                <w:szCs w:val="20"/>
              </w:rPr>
              <w:t xml:space="preserve">Jurisdiction</w:t>
            </w:r>
          </w:p>
        </w:tc>
        <w:tc>
          <w:tcPr>
            <w:tcW w:type="dxa" w:w="1900"/>
            <w:shd w:fill="F2F2F2" w:color="auto" w:val="clear"/>
            <w:tcMar>
              <w:top w:type="dxa" w:w="100"/>
              <w:left w:type="dxa" w:w="120"/>
              <w:bottom w:type="dxa" w:w="100"/>
              <w:right w:type="dxa" w:w="120"/>
            </w:tcMar>
          </w:tcPr>
          <w:p>
            <w:r>
              <w:rPr>
                <w:b/>
                <w:bCs/>
                <w:sz w:val="20"/>
                <w:szCs w:val="20"/>
              </w:rPr>
              <w:t xml:space="preserve">Claim</w:t>
            </w:r>
          </w:p>
        </w:tc>
        <w:tc>
          <w:tcPr>
            <w:tcW w:type="dxa" w:w="3670"/>
            <w:shd w:fill="F2F2F2" w:color="auto" w:val="clear"/>
            <w:tcMar>
              <w:top w:type="dxa" w:w="100"/>
              <w:left w:type="dxa" w:w="120"/>
              <w:bottom w:type="dxa" w:w="100"/>
              <w:right w:type="dxa" w:w="120"/>
            </w:tcMar>
          </w:tcPr>
          <w:p>
            <w:r>
              <w:rPr>
                <w:b/>
                <w:bCs/>
                <w:sz w:val="20"/>
                <w:szCs w:val="20"/>
              </w:rPr>
              <w:t xml:space="preserve">Assessment</w:t>
            </w:r>
          </w:p>
        </w:tc>
      </w:tr>
      <w:tr>
        <w:tc>
          <w:tcPr>
            <w:tcW w:type="dxa" w:w="2350"/>
            <w:tcMar>
              <w:top w:type="dxa" w:w="100"/>
              <w:left w:type="dxa" w:w="120"/>
              <w:bottom w:type="dxa" w:w="100"/>
              <w:right w:type="dxa" w:w="120"/>
            </w:tcMar>
          </w:tcPr>
          <w:p>
            <w:r>
              <w:rPr>
                <w:sz w:val="20"/>
                <w:szCs w:val="20"/>
              </w:rPr>
              <w:t xml:space="preserve">Technomed Company Limited</w:t>
            </w:r>
          </w:p>
        </w:tc>
        <w:tc>
          <w:tcPr>
            <w:tcW w:type="dxa" w:w="1620"/>
            <w:tcMar>
              <w:top w:type="dxa" w:w="100"/>
              <w:left w:type="dxa" w:w="120"/>
              <w:bottom w:type="dxa" w:w="100"/>
              <w:right w:type="dxa" w:w="120"/>
            </w:tcMar>
          </w:tcPr>
          <w:p>
            <w:r>
              <w:rPr>
                <w:sz w:val="20"/>
                <w:szCs w:val="20"/>
              </w:rPr>
              <w:t xml:space="preserve">Tanzania</w:t>
            </w:r>
          </w:p>
        </w:tc>
        <w:tc>
          <w:tcPr>
            <w:tcW w:type="dxa" w:w="1900"/>
            <w:tcMar>
              <w:top w:type="dxa" w:w="100"/>
              <w:left w:type="dxa" w:w="120"/>
              <w:bottom w:type="dxa" w:w="100"/>
              <w:right w:type="dxa" w:w="120"/>
            </w:tcMar>
          </w:tcPr>
          <w:p>
            <w:r>
              <w:rPr>
                <w:sz w:val="20"/>
                <w:szCs w:val="20"/>
              </w:rPr>
              <w:t xml:space="preserve">Chaired/founded by Lambert</w:t>
            </w:r>
          </w:p>
        </w:tc>
        <w:tc>
          <w:tcPr>
            <w:tcW w:type="dxa" w:w="3670"/>
            <w:tcMar>
              <w:top w:type="dxa" w:w="100"/>
              <w:left w:type="dxa" w:w="120"/>
              <w:bottom w:type="dxa" w:w="100"/>
              <w:right w:type="dxa" w:w="120"/>
            </w:tcMar>
          </w:tcPr>
          <w:p>
            <w:r>
              <w:rPr>
                <w:sz w:val="20"/>
                <w:szCs w:val="20"/>
              </w:rPr>
              <w:t xml:space="preserve">A company of this name does exist — a Dar es Salaam medical equipment importer, distributor and service provider. Nothing on its public materials or in search connects it to Lambert or to Junaco. The company is real; the attribution is not established.</w:t>
            </w:r>
            <w:r>
              <w:rPr>
                <w:b/>
                <w:bCs/>
                <w:color w:val="B91C1C"/>
                <w:sz w:val="18"/>
                <w:szCs w:val="18"/>
              </w:rPr>
              <w:t xml:space="preserve">  [UNVERIFIED — reported]</w:t>
            </w:r>
          </w:p>
        </w:tc>
      </w:tr>
      <w:tr>
        <w:tc>
          <w:tcPr>
            <w:tcW w:type="dxa" w:w="2350"/>
            <w:tcMar>
              <w:top w:type="dxa" w:w="100"/>
              <w:left w:type="dxa" w:w="120"/>
              <w:bottom w:type="dxa" w:w="100"/>
              <w:right w:type="dxa" w:w="120"/>
            </w:tcMar>
          </w:tcPr>
          <w:p>
            <w:r>
              <w:rPr>
                <w:sz w:val="20"/>
                <w:szCs w:val="20"/>
              </w:rPr>
              <w:t xml:space="preserve">Selected Systems Limited</w:t>
            </w:r>
          </w:p>
        </w:tc>
        <w:tc>
          <w:tcPr>
            <w:tcW w:type="dxa" w:w="1620"/>
            <w:tcMar>
              <w:top w:type="dxa" w:w="100"/>
              <w:left w:type="dxa" w:w="120"/>
              <w:bottom w:type="dxa" w:w="100"/>
              <w:right w:type="dxa" w:w="120"/>
            </w:tcMar>
          </w:tcPr>
          <w:p>
            <w:r>
              <w:rPr>
                <w:sz w:val="20"/>
                <w:szCs w:val="20"/>
              </w:rPr>
              <w:t xml:space="preserve">Tanzania</w:t>
            </w:r>
          </w:p>
        </w:tc>
        <w:tc>
          <w:tcPr>
            <w:tcW w:type="dxa" w:w="1900"/>
            <w:tcMar>
              <w:top w:type="dxa" w:w="100"/>
              <w:left w:type="dxa" w:w="120"/>
              <w:bottom w:type="dxa" w:w="100"/>
              <w:right w:type="dxa" w:w="120"/>
            </w:tcMar>
          </w:tcPr>
          <w:p>
            <w:r>
              <w:rPr>
                <w:sz w:val="20"/>
                <w:szCs w:val="20"/>
              </w:rPr>
              <w:t xml:space="preserve">Chaired/founded by Lambert</w:t>
            </w:r>
          </w:p>
        </w:tc>
        <w:tc>
          <w:tcPr>
            <w:tcW w:type="dxa" w:w="3670"/>
            <w:tcMar>
              <w:top w:type="dxa" w:w="100"/>
              <w:left w:type="dxa" w:w="120"/>
              <w:bottom w:type="dxa" w:w="100"/>
              <w:right w:type="dxa" w:w="120"/>
            </w:tcMar>
          </w:tcPr>
          <w:p>
            <w:r>
              <w:rPr>
                <w:sz w:val="20"/>
                <w:szCs w:val="20"/>
              </w:rPr>
              <w:t xml:space="preserve">Neither the company nor the attribution could be corroborated in open search. Requires a BRELA name search to confirm the entity even exists in this form.</w:t>
            </w:r>
            <w:r>
              <w:rPr>
                <w:b/>
                <w:bCs/>
                <w:color w:val="B91C1C"/>
                <w:sz w:val="18"/>
                <w:szCs w:val="18"/>
              </w:rPr>
              <w:t xml:space="preserve">  [UNVERIFIED — reported]</w:t>
            </w:r>
          </w:p>
        </w:tc>
      </w:tr>
    </w:tbl>
    <w:p>
      <w:pPr>
        <w:spacing w:after="140"/>
      </w:pPr>
    </w:p>
    <w:p>
      <w:pPr>
        <w:pStyle w:val="Heading2"/>
        <w:keepNext/>
        <w:spacing w:after="120" w:before="260"/>
      </w:pPr>
      <w:r>
        <w:t xml:space="preserve">3.10 Known gaps in this map</w:t>
      </w:r>
    </w:p>
    <w:p>
      <w:pPr>
        <w:pStyle w:val="ListParagraph"/>
        <w:numPr>
          <w:ilvl w:val="0"/>
          <w:numId w:val="1"/>
        </w:numPr>
        <w:spacing w:after="80"/>
      </w:pPr>
      <w:r>
        <w:t xml:space="preserve">No current shareholder register has been obtained for any entity in the map. All ownership statements are as reported at announcement.</w:t>
      </w:r>
    </w:p>
    <w:p>
      <w:pPr>
        <w:pStyle w:val="ListParagraph"/>
        <w:numPr>
          <w:ilvl w:val="0"/>
          <w:numId w:val="1"/>
        </w:numPr>
        <w:spacing w:after="80"/>
      </w:pPr>
      <w:r>
        <w:t xml:space="preserve">The Zambian affiliate referenced in group marketing is unnamed and unlocated.</w:t>
      </w:r>
    </w:p>
    <w:p>
      <w:pPr>
        <w:pStyle w:val="ListParagraph"/>
        <w:numPr>
          <w:ilvl w:val="0"/>
          <w:numId w:val="1"/>
        </w:numPr>
        <w:spacing w:after="80"/>
      </w:pPr>
      <w:r>
        <w:t xml:space="preserve">The counterparty to the reported March 2024 Msufini transaction is unidentified.</w:t>
      </w:r>
    </w:p>
    <w:p>
      <w:pPr>
        <w:pStyle w:val="ListParagraph"/>
        <w:numPr>
          <w:ilvl w:val="0"/>
          <w:numId w:val="1"/>
        </w:numPr>
        <w:spacing w:after="80"/>
      </w:pPr>
      <w:r>
        <w:t xml:space="preserve">Serba Dinamik's 25% JV interest may have been realised, transferred or abandoned in liquidation; the current cap table of the SPV is unknown.</w:t>
      </w:r>
    </w:p>
    <w:p>
      <w:pPr>
        <w:pStyle w:val="ListParagraph"/>
        <w:numPr>
          <w:ilvl w:val="0"/>
          <w:numId w:val="1"/>
        </w:numPr>
        <w:spacing w:after="80"/>
      </w:pPr>
      <w:r>
        <w:t xml:space="preserve">The Clarkson Insurance Brokers group's own Kenya, Uganda and Zambia entities are connected to Junaco indirectly through the Tanzanian shareholding. Whether that gives Lambert any interest or board seat outside Tanzania has not been established.</w:t>
      </w:r>
    </w:p>
    <w:p>
      <w:pPr>
        <w:pStyle w:val="ListParagraph"/>
        <w:numPr>
          <w:ilvl w:val="0"/>
          <w:numId w:val="1"/>
        </w:numPr>
        <w:spacing w:after="80"/>
      </w:pPr>
      <w:r>
        <w:t xml:space="preserve">Only disputed banking relationships are visible. Undisputed lenders, and any security granted to them, will not appear in open sources.</w:t>
      </w:r>
    </w:p>
    <w:p>
      <w:pPr>
        <w:pStyle w:val="ListParagraph"/>
        <w:numPr>
          <w:ilvl w:val="0"/>
          <w:numId w:val="1"/>
        </w:numPr>
        <w:spacing w:after="80"/>
      </w:pPr>
      <w:r>
        <w:t xml:space="preserve">No search of the Tanzanian, Kenyan, Ugandan or Congolese company registries has been performed — an entity registered under a name not containing “Junaco” would not surface by the method used here.</w:t>
      </w:r>
    </w:p>
    <w:p>
      <w:r>
        <w:br w:type="page"/>
      </w:r>
    </w:p>
    <w:p>
      <w:pPr>
        <w:pStyle w:val="Heading1"/>
        <w:spacing w:after="160" w:before="360"/>
      </w:pPr>
      <w:r>
        <w:t xml:space="preserve">4. Litigation Record</w:t>
      </w:r>
    </w:p>
    <w:p>
      <w:pPr>
        <w:spacing w:after="180"/>
      </w:pPr>
      <w:r>
        <w:t xml:space="preserve">The previous draft could confirm only that a Court of Appeal citation existed, with the counterparty unknown, and recorded everything else in this area as unverified. Searching the national legal information institutes directly — TanzLII for Tanzania and ULII for Uganda — identifies five reported proceedings. Case names, numbers, citations, courts and dates are taken from those institutes' own case indexes and are reliable. Full judgment text could not be retrieved from this session, so the substance below rests on the indexes and published summaries; each case is cited precisely enough to be pulled in full.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1900"/>
        <w:gridCol w:w="2140"/>
      </w:tblGrid>
      <w:tr>
        <w:trPr>
          <w:tblHeader/>
        </w:trPr>
        <w:tc>
          <w:tcPr>
            <w:tcW w:type="dxa" w:w="3400"/>
            <w:shd w:fill="F2F2F2" w:color="auto" w:val="clear"/>
            <w:tcMar>
              <w:top w:type="dxa" w:w="100"/>
              <w:left w:type="dxa" w:w="120"/>
              <w:bottom w:type="dxa" w:w="100"/>
              <w:right w:type="dxa" w:w="120"/>
            </w:tcMar>
          </w:tcPr>
          <w:p>
            <w:r>
              <w:rPr>
                <w:b/>
                <w:bCs/>
                <w:sz w:val="20"/>
                <w:szCs w:val="20"/>
              </w:rPr>
              <w:t xml:space="preserve">Case</w:t>
            </w:r>
          </w:p>
        </w:tc>
        <w:tc>
          <w:tcPr>
            <w:tcW w:type="dxa" w:w="2100"/>
            <w:shd w:fill="F2F2F2" w:color="auto" w:val="clear"/>
            <w:tcMar>
              <w:top w:type="dxa" w:w="100"/>
              <w:left w:type="dxa" w:w="120"/>
              <w:bottom w:type="dxa" w:w="100"/>
              <w:right w:type="dxa" w:w="120"/>
            </w:tcMar>
          </w:tcPr>
          <w:p>
            <w:r>
              <w:rPr>
                <w:b/>
                <w:bCs/>
                <w:sz w:val="20"/>
                <w:szCs w:val="20"/>
              </w:rPr>
              <w:t xml:space="preserve">Court</w:t>
            </w:r>
          </w:p>
        </w:tc>
        <w:tc>
          <w:tcPr>
            <w:tcW w:type="dxa" w:w="1900"/>
            <w:shd w:fill="F2F2F2" w:color="auto" w:val="clear"/>
            <w:tcMar>
              <w:top w:type="dxa" w:w="100"/>
              <w:left w:type="dxa" w:w="120"/>
              <w:bottom w:type="dxa" w:w="100"/>
              <w:right w:type="dxa" w:w="120"/>
            </w:tcMar>
          </w:tcPr>
          <w:p>
            <w:r>
              <w:rPr>
                <w:b/>
                <w:bCs/>
                <w:sz w:val="20"/>
                <w:szCs w:val="20"/>
              </w:rPr>
              <w:t xml:space="preserve">Citation</w:t>
            </w:r>
          </w:p>
        </w:tc>
        <w:tc>
          <w:tcPr>
            <w:tcW w:type="dxa" w:w="2140"/>
            <w:shd w:fill="F2F2F2" w:color="auto" w:val="clear"/>
            <w:tcMar>
              <w:top w:type="dxa" w:w="100"/>
              <w:left w:type="dxa" w:w="120"/>
              <w:bottom w:type="dxa" w:w="100"/>
              <w:right w:type="dxa" w:w="120"/>
            </w:tcMar>
          </w:tcPr>
          <w:p>
            <w:r>
              <w:rPr>
                <w:b/>
                <w:bCs/>
                <w:sz w:val="20"/>
                <w:szCs w:val="20"/>
              </w:rPr>
              <w:t xml:space="preserve">Date</w:t>
            </w:r>
          </w:p>
        </w:tc>
      </w:tr>
      <w:tr>
        <w:tc>
          <w:tcPr>
            <w:tcW w:type="dxa" w:w="3400"/>
            <w:tcMar>
              <w:top w:type="dxa" w:w="100"/>
              <w:left w:type="dxa" w:w="120"/>
              <w:bottom w:type="dxa" w:w="100"/>
              <w:right w:type="dxa" w:w="120"/>
            </w:tcMar>
          </w:tcPr>
          <w:p>
            <w:r>
              <w:rPr>
                <w:sz w:val="20"/>
                <w:szCs w:val="20"/>
              </w:rPr>
              <w:t xml:space="preserve">Junaco (T) Ltd &amp; Another v Harel Mallac Tanzania Ltd (Misc. Civil Application No. 473 of 2016)</w:t>
            </w:r>
          </w:p>
        </w:tc>
        <w:tc>
          <w:tcPr>
            <w:tcW w:type="dxa" w:w="2100"/>
            <w:tcMar>
              <w:top w:type="dxa" w:w="100"/>
              <w:left w:type="dxa" w:w="120"/>
              <w:bottom w:type="dxa" w:w="100"/>
              <w:right w:type="dxa" w:w="120"/>
            </w:tcMar>
          </w:tcPr>
          <w:p>
            <w:r>
              <w:rPr>
                <w:sz w:val="20"/>
                <w:szCs w:val="20"/>
              </w:rPr>
              <w:t xml:space="preserve">Court of Appeal of Tanzania</w:t>
            </w:r>
          </w:p>
        </w:tc>
        <w:tc>
          <w:tcPr>
            <w:tcW w:type="dxa" w:w="1900"/>
            <w:tcMar>
              <w:top w:type="dxa" w:w="100"/>
              <w:left w:type="dxa" w:w="120"/>
              <w:bottom w:type="dxa" w:w="100"/>
              <w:right w:type="dxa" w:w="120"/>
            </w:tcMar>
          </w:tcPr>
          <w:p>
            <w:r>
              <w:rPr>
                <w:sz w:val="20"/>
                <w:szCs w:val="20"/>
              </w:rPr>
              <w:t xml:space="preserve">[2018] TZCA 290</w:t>
            </w:r>
          </w:p>
        </w:tc>
        <w:tc>
          <w:tcPr>
            <w:tcW w:type="dxa" w:w="2140"/>
            <w:tcMar>
              <w:top w:type="dxa" w:w="100"/>
              <w:left w:type="dxa" w:w="120"/>
              <w:bottom w:type="dxa" w:w="100"/>
              <w:right w:type="dxa" w:w="120"/>
            </w:tcMar>
          </w:tcPr>
          <w:p>
            <w:r>
              <w:rPr>
                <w:sz w:val="20"/>
                <w:szCs w:val="20"/>
              </w:rPr>
              <w:t xml:space="preserve">15 Oct 2018</w:t>
            </w:r>
          </w:p>
        </w:tc>
      </w:tr>
      <w:tr>
        <w:tc>
          <w:tcPr>
            <w:tcW w:type="dxa" w:w="3400"/>
            <w:tcMar>
              <w:top w:type="dxa" w:w="100"/>
              <w:left w:type="dxa" w:w="120"/>
              <w:bottom w:type="dxa" w:w="100"/>
              <w:right w:type="dxa" w:w="120"/>
            </w:tcMar>
          </w:tcPr>
          <w:p>
            <w:r>
              <w:rPr>
                <w:sz w:val="20"/>
                <w:szCs w:val="20"/>
              </w:rPr>
              <w:t xml:space="preserve">Harel Mallac (Tanzania) Ltd v Junaco (T) Ltd &amp; Another (Commercial Case / Execution Application No. 159 of 2014)</w:t>
            </w:r>
          </w:p>
        </w:tc>
        <w:tc>
          <w:tcPr>
            <w:tcW w:type="dxa" w:w="2100"/>
            <w:tcMar>
              <w:top w:type="dxa" w:w="100"/>
              <w:left w:type="dxa" w:w="120"/>
              <w:bottom w:type="dxa" w:w="100"/>
              <w:right w:type="dxa" w:w="120"/>
            </w:tcMar>
          </w:tcPr>
          <w:p>
            <w:r>
              <w:rPr>
                <w:sz w:val="20"/>
                <w:szCs w:val="20"/>
              </w:rPr>
              <w:t xml:space="preserve">High Court of Tanzania, Commercial Division</w:t>
            </w:r>
          </w:p>
        </w:tc>
        <w:tc>
          <w:tcPr>
            <w:tcW w:type="dxa" w:w="1900"/>
            <w:tcMar>
              <w:top w:type="dxa" w:w="100"/>
              <w:left w:type="dxa" w:w="120"/>
              <w:bottom w:type="dxa" w:w="100"/>
              <w:right w:type="dxa" w:w="120"/>
            </w:tcMar>
          </w:tcPr>
          <w:p>
            <w:r>
              <w:rPr>
                <w:sz w:val="20"/>
                <w:szCs w:val="20"/>
              </w:rPr>
              <w:t xml:space="preserve">[2022] TZHCComD 15; [2022] TZHCComD 207</w:t>
            </w:r>
          </w:p>
        </w:tc>
        <w:tc>
          <w:tcPr>
            <w:tcW w:type="dxa" w:w="2140"/>
            <w:tcMar>
              <w:top w:type="dxa" w:w="100"/>
              <w:left w:type="dxa" w:w="120"/>
              <w:bottom w:type="dxa" w:w="100"/>
              <w:right w:type="dxa" w:w="120"/>
            </w:tcMar>
          </w:tcPr>
          <w:p>
            <w:r>
              <w:rPr>
                <w:sz w:val="20"/>
                <w:szCs w:val="20"/>
              </w:rPr>
              <w:t xml:space="preserve">16 Feb 2022</w:t>
            </w:r>
          </w:p>
        </w:tc>
      </w:tr>
      <w:tr>
        <w:tc>
          <w:tcPr>
            <w:tcW w:type="dxa" w:w="3400"/>
            <w:tcMar>
              <w:top w:type="dxa" w:w="100"/>
              <w:left w:type="dxa" w:w="120"/>
              <w:bottom w:type="dxa" w:w="100"/>
              <w:right w:type="dxa" w:w="120"/>
            </w:tcMar>
          </w:tcPr>
          <w:p>
            <w:r>
              <w:rPr>
                <w:sz w:val="20"/>
                <w:szCs w:val="20"/>
              </w:rPr>
              <w:t xml:space="preserve">Junaco (T) Ltd v Equity Bank (T) Ltd &amp; Another (Land Case No. 120 of 2021)</w:t>
            </w:r>
          </w:p>
        </w:tc>
        <w:tc>
          <w:tcPr>
            <w:tcW w:type="dxa" w:w="2100"/>
            <w:tcMar>
              <w:top w:type="dxa" w:w="100"/>
              <w:left w:type="dxa" w:w="120"/>
              <w:bottom w:type="dxa" w:w="100"/>
              <w:right w:type="dxa" w:w="120"/>
            </w:tcMar>
          </w:tcPr>
          <w:p>
            <w:r>
              <w:rPr>
                <w:sz w:val="20"/>
                <w:szCs w:val="20"/>
              </w:rPr>
              <w:t xml:space="preserve">High Court of Tanzania, Land Division</w:t>
            </w:r>
          </w:p>
        </w:tc>
        <w:tc>
          <w:tcPr>
            <w:tcW w:type="dxa" w:w="1900"/>
            <w:tcMar>
              <w:top w:type="dxa" w:w="100"/>
              <w:left w:type="dxa" w:w="120"/>
              <w:bottom w:type="dxa" w:w="100"/>
              <w:right w:type="dxa" w:w="120"/>
            </w:tcMar>
          </w:tcPr>
          <w:p>
            <w:r>
              <w:rPr>
                <w:sz w:val="20"/>
                <w:szCs w:val="20"/>
              </w:rPr>
              <w:t xml:space="preserve">[2022] TZHCLandD 74; [2022] TZHCLandD 117</w:t>
            </w:r>
          </w:p>
        </w:tc>
        <w:tc>
          <w:tcPr>
            <w:tcW w:type="dxa" w:w="2140"/>
            <w:tcMar>
              <w:top w:type="dxa" w:w="100"/>
              <w:left w:type="dxa" w:w="120"/>
              <w:bottom w:type="dxa" w:w="100"/>
              <w:right w:type="dxa" w:w="120"/>
            </w:tcMar>
          </w:tcPr>
          <w:p>
            <w:r>
              <w:rPr>
                <w:sz w:val="20"/>
                <w:szCs w:val="20"/>
              </w:rPr>
              <w:t xml:space="preserve">14 Feb 2022</w:t>
            </w:r>
          </w:p>
        </w:tc>
      </w:tr>
      <w:tr>
        <w:tc>
          <w:tcPr>
            <w:tcW w:type="dxa" w:w="3400"/>
            <w:tcMar>
              <w:top w:type="dxa" w:w="100"/>
              <w:left w:type="dxa" w:w="120"/>
              <w:bottom w:type="dxa" w:w="100"/>
              <w:right w:type="dxa" w:w="120"/>
            </w:tcMar>
          </w:tcPr>
          <w:p>
            <w:r>
              <w:rPr>
                <w:sz w:val="20"/>
                <w:szCs w:val="20"/>
              </w:rPr>
              <w:t xml:space="preserve">Junaco (T) Limited &amp; 2 Others v DFCU Bank Limited (Misc. Application No. 27 of 2023)</w:t>
            </w:r>
          </w:p>
        </w:tc>
        <w:tc>
          <w:tcPr>
            <w:tcW w:type="dxa" w:w="2100"/>
            <w:tcMar>
              <w:top w:type="dxa" w:w="100"/>
              <w:left w:type="dxa" w:w="120"/>
              <w:bottom w:type="dxa" w:w="100"/>
              <w:right w:type="dxa" w:w="120"/>
            </w:tcMar>
          </w:tcPr>
          <w:p>
            <w:r>
              <w:rPr>
                <w:sz w:val="20"/>
                <w:szCs w:val="20"/>
              </w:rPr>
              <w:t xml:space="preserve">High Court of Uganda, Commercial Division</w:t>
            </w:r>
          </w:p>
        </w:tc>
        <w:tc>
          <w:tcPr>
            <w:tcW w:type="dxa" w:w="1900"/>
            <w:tcMar>
              <w:top w:type="dxa" w:w="100"/>
              <w:left w:type="dxa" w:w="120"/>
              <w:bottom w:type="dxa" w:w="100"/>
              <w:right w:type="dxa" w:w="120"/>
            </w:tcMar>
          </w:tcPr>
          <w:p>
            <w:r>
              <w:rPr>
                <w:sz w:val="20"/>
                <w:szCs w:val="20"/>
              </w:rPr>
              <w:t xml:space="preserve">[2023] UGCommC 37</w:t>
            </w:r>
          </w:p>
        </w:tc>
        <w:tc>
          <w:tcPr>
            <w:tcW w:type="dxa" w:w="2140"/>
            <w:tcMar>
              <w:top w:type="dxa" w:w="100"/>
              <w:left w:type="dxa" w:w="120"/>
              <w:bottom w:type="dxa" w:w="100"/>
              <w:right w:type="dxa" w:w="120"/>
            </w:tcMar>
          </w:tcPr>
          <w:p>
            <w:r>
              <w:rPr>
                <w:sz w:val="20"/>
                <w:szCs w:val="20"/>
              </w:rPr>
              <w:t xml:space="preserve">27 Feb 2023</w:t>
            </w:r>
          </w:p>
        </w:tc>
      </w:tr>
      <w:tr>
        <w:tc>
          <w:tcPr>
            <w:tcW w:type="dxa" w:w="3400"/>
            <w:tcMar>
              <w:top w:type="dxa" w:w="100"/>
              <w:left w:type="dxa" w:w="120"/>
              <w:bottom w:type="dxa" w:w="100"/>
              <w:right w:type="dxa" w:w="120"/>
            </w:tcMar>
          </w:tcPr>
          <w:p>
            <w:r>
              <w:rPr>
                <w:sz w:val="20"/>
                <w:szCs w:val="20"/>
              </w:rPr>
              <w:t xml:space="preserve">Junaco (T) Limited &amp; 2 Others v DFCU Bank Limited (Civil Application No. 145 of 2023)</w:t>
            </w:r>
          </w:p>
        </w:tc>
        <w:tc>
          <w:tcPr>
            <w:tcW w:type="dxa" w:w="2100"/>
            <w:tcMar>
              <w:top w:type="dxa" w:w="100"/>
              <w:left w:type="dxa" w:w="120"/>
              <w:bottom w:type="dxa" w:w="100"/>
              <w:right w:type="dxa" w:w="120"/>
            </w:tcMar>
          </w:tcPr>
          <w:p>
            <w:r>
              <w:rPr>
                <w:sz w:val="20"/>
                <w:szCs w:val="20"/>
              </w:rPr>
              <w:t xml:space="preserve">Court of Appeal of Uganda</w:t>
            </w:r>
          </w:p>
        </w:tc>
        <w:tc>
          <w:tcPr>
            <w:tcW w:type="dxa" w:w="1900"/>
            <w:tcMar>
              <w:top w:type="dxa" w:w="100"/>
              <w:left w:type="dxa" w:w="120"/>
              <w:bottom w:type="dxa" w:w="100"/>
              <w:right w:type="dxa" w:w="120"/>
            </w:tcMar>
          </w:tcPr>
          <w:p>
            <w:r>
              <w:rPr>
                <w:sz w:val="20"/>
                <w:szCs w:val="20"/>
              </w:rPr>
              <w:t xml:space="preserve">[2023] UGCA 158</w:t>
            </w:r>
          </w:p>
        </w:tc>
        <w:tc>
          <w:tcPr>
            <w:tcW w:type="dxa" w:w="2140"/>
            <w:tcMar>
              <w:top w:type="dxa" w:w="100"/>
              <w:left w:type="dxa" w:w="120"/>
              <w:bottom w:type="dxa" w:w="100"/>
              <w:right w:type="dxa" w:w="120"/>
            </w:tcMar>
          </w:tcPr>
          <w:p>
            <w:r>
              <w:rPr>
                <w:sz w:val="20"/>
                <w:szCs w:val="20"/>
              </w:rPr>
              <w:t xml:space="preserve">5 May 2023</w:t>
            </w:r>
          </w:p>
        </w:tc>
      </w:tr>
    </w:tbl>
    <w:p>
      <w:pPr>
        <w:spacing w:after="160"/>
      </w:pPr>
    </w:p>
    <w:p>
      <w:pPr>
        <w:pStyle w:val="Heading2"/>
        <w:keepNext/>
        <w:spacing w:after="120" w:before="260"/>
      </w:pPr>
      <w:r>
        <w:t xml:space="preserve">4.1 Tanzania — Harel Mallac (Tanzania) Ltd</w:t>
      </w:r>
    </w:p>
    <w:p>
      <w:pPr>
        <w:spacing w:after="140"/>
      </w:pPr>
      <w:r>
        <w:t xml:space="preserve">The previous draft flagged an unidentified citation appearing in the list of authorities to Jitesh Jayantilal Ladwa and Another v Dhirajlal Walji Ladwa and 2 Others, Civil Appeal No. 435 of 2020, reading “JUNACO (T) Limited and Justin Lambert Vs …” with the respondent not captured. That citation is now identified. The case is Junaco (T) Ltd &amp; Another v Harel Mallac Tanzania Ltd, Misc. Civil Application No. 473 of 2016, [2018] TZCA 290, decided by the Court of Appeal of Tanzania on 15 October 2018 — the “Another” being Lambert personally.</w:t>
      </w:r>
    </w:p>
    <w:p>
      <w:pPr>
        <w:spacing w:after="140"/>
      </w:pPr>
      <w:r>
        <w:t xml:space="preserve">The decision is cited in later Tanzanian jurisprudence as authority on the competency of applications and the rule against revising interlocutory orders, establishing the “nature of the order test” for distinguishing final from interlocutory orders. That tells us the reported point was procedural. It does not tell us the underlying subject matter or who ultimately succeeded on the merits.</w:t>
      </w:r>
    </w:p>
    <w:p>
      <w:pPr>
        <w:spacing w:after="140"/>
      </w:pPr>
      <w:r>
        <w:t xml:space="preserve">The dispute was not short-lived. It originates in Commercial Case No. 159 of 2014 in the High Court's Commercial Division, and that case number reappears as an Execution Application decided on 16 February 2022 — with Harel Mallac as the applicant seeking execution against Junaco. A judgment creditor still pursuing execution eight years after filing is a meaningful signal about both the outcome and the recovery experience.</w:t>
      </w:r>
    </w:p>
    <w:p>
      <w:pPr>
        <w:spacing w:after="200"/>
      </w:pPr>
      <w:r>
        <w:rPr>
          <w:i/>
          <w:iCs/>
          <w:sz w:val="20"/>
          <w:szCs w:val="20"/>
        </w:rPr>
        <w:t xml:space="preserve">Recommendation: pull [2018] TZCA 290, [2022] TZHCComD 15 and [2022] TZHCComD 207 in full, together with the original Commercial Case No. 159 of 2014 file. These four documents should establish the quantum, the outcome, and whether the judgment debt has been satisfied.</w:t>
      </w:r>
    </w:p>
    <w:p>
      <w:pPr>
        <w:pStyle w:val="Heading2"/>
        <w:keepNext/>
        <w:spacing w:after="120" w:before="260"/>
      </w:pPr>
      <w:r>
        <w:t xml:space="preserve">4.2 Tanzania — Equity Bank (Tanzania) Limited</w:t>
      </w:r>
    </w:p>
    <w:p>
      <w:pPr>
        <w:spacing w:after="140"/>
      </w:pPr>
      <w:r>
        <w:t xml:space="preserve">Junaco (T) Ltd v Equity Bank (T) Ltd &amp; Another was decided in the High Court's Land Division on 14 February 2022 under Land Case No. 120 of 2021, reported twice as [2022] TZHCLandD 74 and [2022] TZHCLandD 117. The user-supplied material's claim of “multiple High Court proceedings involving Equity Bank (Tanzania) concerning loan facilities and mortgage/security enforcement” is therefore substantiated at least in outline: a proceeding exists, against that bank, in the division that handles land and mortgage disputes, with Junaco as the party bringing it.</w:t>
      </w:r>
    </w:p>
    <w:p>
      <w:pPr>
        <w:spacing w:after="200"/>
      </w:pPr>
      <w:r>
        <w:t xml:space="preserve">Two things remain unknown and both matter. First, the substance — a borrower suing its bank in the Land Division most commonly indicates a challenge to enforcement over mortgaged property, but that is inference from the forum, not a finding. Second, whether this is one case or, as reported, several. Only this one surfaced.</w:t>
      </w:r>
    </w:p>
    <w:p>
      <w:pPr>
        <w:pStyle w:val="Heading2"/>
        <w:keepNext/>
        <w:spacing w:after="120" w:before="260"/>
      </w:pPr>
      <w:r>
        <w:t xml:space="preserve">4.3 Uganda — DFCU Bank Limited</w:t>
      </w:r>
    </w:p>
    <w:p>
      <w:pPr>
        <w:spacing w:after="140"/>
      </w:pPr>
      <w:r>
        <w:t xml:space="preserve">This is the most significant single finding in this revision, and it did not appear in the previous draft in any form. DFCU Bank Limited sued Junaco (T) Limited in the Ugandan Commercial Court for recovery of approximately UGX 12.8 billion (indicatively in the region of US$3.4 million). The applicants in the reported applications were Junaco (T) Limited, Justinian Lambert and Vedastina Justinian.</w:t>
      </w:r>
    </w:p>
    <w:p>
      <w:pPr>
        <w:spacing w:after="100"/>
      </w:pPr>
      <w:r>
        <w:t xml:space="preserve">The claim arose from three credit facilities:</w:t>
      </w:r>
    </w:p>
    <w:p>
      <w:pPr>
        <w:pStyle w:val="ListParagraph"/>
        <w:numPr>
          <w:ilvl w:val="0"/>
          <w:numId w:val="1"/>
        </w:numPr>
        <w:spacing w:after="80"/>
      </w:pPr>
      <w:r>
        <w:t xml:space="preserve">a Performance Guarantee Limit of UGX 1.2 billion;</w:t>
      </w:r>
    </w:p>
    <w:p>
      <w:pPr>
        <w:pStyle w:val="ListParagraph"/>
        <w:numPr>
          <w:ilvl w:val="0"/>
          <w:numId w:val="1"/>
        </w:numPr>
        <w:spacing w:after="80"/>
      </w:pPr>
      <w:r>
        <w:t xml:space="preserve">an Import Loan Facility of approximately UGX 7.4 billion; and</w:t>
      </w:r>
    </w:p>
    <w:p>
      <w:pPr>
        <w:pStyle w:val="ListParagraph"/>
        <w:numPr>
          <w:ilvl w:val="0"/>
          <w:numId w:val="1"/>
        </w:numPr>
        <w:spacing w:after="80"/>
      </w:pPr>
      <w:r>
        <w:t xml:space="preserve">an unsecured Invoice Discounting Facility of UGX 200 million.</w:t>
      </w:r>
    </w:p>
    <w:p>
      <w:pPr>
        <w:spacing w:after="140"/>
      </w:pPr>
      <w:r>
        <w:t xml:space="preserve">The stated purpose of the facilities was to enable performance of a contract to supply water meters to Uganda's National Water and Sewerage Corporation. The named facilities total UGX 8.8 billion against a recovery claim of UGX 12.8 billion; the difference is presumably interest, penalties and costs, but that should be confirmed from the judgment.</w:t>
      </w:r>
    </w:p>
    <w:p>
      <w:pPr>
        <w:spacing w:after="140"/>
      </w:pPr>
      <w:r>
        <w:t xml:space="preserve">Both attempts to hold off enforcement failed. The Commercial Court dismissed the application for stay of execution on 27 February 2023, finding that the applicants had shown neither realistic prospects of success on appeal, nor substantial loss, nor any security. The Court of Appeal dismissed a further application on 5 May 2023, finding no prima facie appeal, no irreparable harm and no favourable balance of convenience. Two courts, three months apart, declining to protect the debtor is a strong indicator of the merits as those courts saw them.</w:t>
      </w:r>
    </w:p>
    <w:p>
      <w:pPr>
        <w:spacing w:after="2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shd w:fill="FEE2E2" w:color="auto" w:val="clear"/>
            <w:tcMar>
              <w:top w:type="dxa" w:w="200"/>
              <w:left w:type="dxa" w:w="260"/>
              <w:bottom w:type="dxa" w:w="200"/>
              <w:right w:type="dxa" w:w="260"/>
            </w:tcMar>
          </w:tcPr>
          <w:p>
            <w:pPr>
              <w:spacing w:after="100"/>
            </w:pPr>
            <w:r>
              <w:rPr>
                <w:b/>
                <w:bCs/>
                <w:color w:val="991B1B"/>
                <w:sz w:val="22"/>
                <w:szCs w:val="22"/>
              </w:rPr>
              <w:t xml:space="preserve">Why this matters to the engagement</w:t>
            </w:r>
          </w:p>
          <w:p>
            <w:pPr>
              <w:spacing w:after="80"/>
            </w:pPr>
            <w:r>
              <w:rPr>
                <w:color w:val="7F1D1D"/>
                <w:sz w:val="20"/>
                <w:szCs w:val="20"/>
              </w:rPr>
              <w:t xml:space="preserve">A judgment debt of this size, unstayed after two refusals, is a credit event and not a procedural footnote. Three features compound it:</w:t>
            </w:r>
          </w:p>
          <w:p>
            <w:pPr>
              <w:spacing w:after="80"/>
            </w:pPr>
            <w:r>
              <w:rPr>
                <w:color w:val="7F1D1D"/>
                <w:sz w:val="20"/>
                <w:szCs w:val="20"/>
              </w:rPr>
              <w:t xml:space="preserve">•  The borrower is Junaco (T) Limited — the Tanzanian parent trading company, not a ring-fenced Ugandan subsidiary. The exposure sits at the centre of the group.</w:t>
            </w:r>
          </w:p>
          <w:p>
            <w:pPr>
              <w:spacing w:after="80"/>
            </w:pPr>
            <w:r>
              <w:rPr>
                <w:color w:val="7F1D1D"/>
                <w:sz w:val="20"/>
                <w:szCs w:val="20"/>
              </w:rPr>
              <w:t xml:space="preserve">•  Lambert and a third individual were joined as applicants, which indicates personal obligations, most likely guarantees, behind the facilities.</w:t>
            </w:r>
          </w:p>
          <w:p>
            <w:pPr>
              <w:spacing w:after="80"/>
            </w:pPr>
            <w:r>
              <w:rPr>
                <w:color w:val="7F1D1D"/>
                <w:sz w:val="20"/>
                <w:szCs w:val="20"/>
              </w:rPr>
              <w:t xml:space="preserve">•  The facilities funded performance of a utility supply contract — the same contract model that underpins the group's multilateral work. Whatever went wrong here goes to working-capital capacity on the core business, not to a peripheral venture.</w:t>
            </w:r>
          </w:p>
          <w:p>
            <w:r>
              <w:rPr>
                <w:i/>
                <w:iCs/>
                <w:color w:val="7F1D1D"/>
                <w:sz w:val="20"/>
                <w:szCs w:val="20"/>
              </w:rPr>
              <w:t xml:space="preserve">Establish the current status of this debt before any capital commitment or credit exposure: whether it has been satisfied, settled, restructured, or remains outstanding and enforceable.</w:t>
            </w:r>
          </w:p>
        </w:tc>
      </w:tr>
    </w:tbl>
    <w:p>
      <w:pPr>
        <w:spacing w:after="160"/>
      </w:pPr>
    </w:p>
    <w:p>
      <w:pPr>
        <w:pStyle w:val="Heading2"/>
        <w:keepNext/>
        <w:spacing w:after="120" w:before="260"/>
      </w:pPr>
      <w:r>
        <w:t xml:space="preserve">4.4 What the record does and does not establish</w:t>
      </w:r>
    </w:p>
    <w:p>
      <w:pPr>
        <w:pStyle w:val="ListParagraph"/>
        <w:numPr>
          <w:ilvl w:val="0"/>
          <w:numId w:val="1"/>
        </w:numPr>
        <w:spacing w:after="80"/>
      </w:pPr>
      <w:r>
        <w:t xml:space="preserve">Established: Junaco (T) Ltd and Lambert personally have been parties to reported litigation in Tanzania and Uganda across at least nine years, including a long-running commercial dispute that reached execution, a mortgage-forum dispute with a bank, and an unstayed bank recovery action of material size.</w:t>
      </w:r>
    </w:p>
    <w:p>
      <w:pPr>
        <w:pStyle w:val="ListParagraph"/>
        <w:numPr>
          <w:ilvl w:val="0"/>
          <w:numId w:val="1"/>
        </w:numPr>
        <w:spacing w:after="80"/>
      </w:pPr>
      <w:r>
        <w:t xml:space="preserve">Established: the pattern is consistent across sources — the user-supplied material's broad characterisation of financing stress and commercial litigation, previously dismissible as unsourced, is directionally supported by the court records.</w:t>
      </w:r>
    </w:p>
    <w:p>
      <w:pPr>
        <w:pStyle w:val="ListParagraph"/>
        <w:numPr>
          <w:ilvl w:val="0"/>
          <w:numId w:val="1"/>
        </w:numPr>
        <w:spacing w:after="80"/>
      </w:pPr>
      <w:r>
        <w:t xml:space="preserve">Not established: the merits, quantum and current status of any of these matters. None of the full judgments has been read. A dismissed stay application is not a final determination of liability, and a judgment debt may since have been satisfied.</w:t>
      </w:r>
    </w:p>
    <w:p>
      <w:pPr>
        <w:pStyle w:val="ListParagraph"/>
        <w:numPr>
          <w:ilvl w:val="0"/>
          <w:numId w:val="1"/>
        </w:numPr>
        <w:spacing w:after="80"/>
      </w:pPr>
      <w:r>
        <w:t xml:space="preserve">Not established: whether these are all of the proceedings. Only reported and indexed cases are visible; settled, unreported and first-instance matters are not.</w:t>
      </w:r>
    </w:p>
    <w:p>
      <w:pPr>
        <w:pStyle w:val="ListParagraph"/>
        <w:numPr>
          <w:ilvl w:val="0"/>
          <w:numId w:val="1"/>
        </w:numPr>
        <w:spacing w:after="160"/>
      </w:pPr>
      <w:r>
        <w:t xml:space="preserve">Not established: any allegation of dishonesty, fraud or regulatory breach. Nothing in the record found here suggests any — these are commercial and credit disputes.</w:t>
      </w:r>
    </w:p>
    <w:p>
      <w:r>
        <w:br w:type="page"/>
      </w:r>
    </w:p>
    <w:p>
      <w:pPr>
        <w:pStyle w:val="Heading1"/>
        <w:spacing w:after="160" w:before="360"/>
      </w:pPr>
      <w:r>
        <w:t xml:space="preserve">5. Remaining Unverified Claims</w:t>
      </w:r>
    </w:p>
    <w:p>
      <w:pPr>
        <w:spacing w:after="180"/>
      </w:pPr>
      <w:r>
        <w:t xml:space="preserve">The following items were supplied from an external profile and a due-diligence-style write-up without checkable citations, and remain uncorroborated after this round of search. They are reproduced as leads only. Items that have since been substantiated have been moved to Sections 3 and 4.</w:t>
      </w:r>
    </w:p>
    <w:p>
      <w:pPr>
        <w:pStyle w:val="Heading2"/>
        <w:keepNext/>
        <w:spacing w:after="120" w:before="260"/>
      </w:pPr>
      <w:r>
        <w:t xml:space="preserve">5.1 Education</w:t>
      </w:r>
    </w:p>
    <w:p>
      <w:pPr>
        <w:pStyle w:val="ListParagraph"/>
        <w:numPr>
          <w:ilvl w:val="0"/>
          <w:numId w:val="1"/>
        </w:numPr>
        <w:spacing w:after="80"/>
      </w:pPr>
      <w:r>
        <w:t xml:space="preserve">Bachelor of Commerce (BCom), University of Botswana, plus reported additional technical and executive training in water treatment, chlor-alkali technologies, business management and industrial engineering across Africa, Europe and the US.</w:t>
      </w:r>
      <w:r>
        <w:rPr>
          <w:b/>
          <w:bCs/>
          <w:color w:val="B91C1C"/>
          <w:sz w:val="18"/>
          <w:szCs w:val="18"/>
        </w:rPr>
        <w:t xml:space="preserve">  [UNVERIFIED]</w:t>
      </w:r>
    </w:p>
    <w:p>
      <w:pPr>
        <w:pStyle w:val="Heading2"/>
        <w:keepNext/>
        <w:spacing w:after="120" w:before="260"/>
      </w:pPr>
      <w:r>
        <w:t xml:space="preserve">5.2 Co-founder and ownership history</w:t>
      </w:r>
    </w:p>
    <w:p>
      <w:pPr>
        <w:pStyle w:val="ListParagraph"/>
        <w:numPr>
          <w:ilvl w:val="0"/>
          <w:numId w:val="1"/>
        </w:numPr>
        <w:spacing w:after="80"/>
      </w:pPr>
      <w:r>
        <w:t xml:space="preserve">Reported that Junaco was co-founded with a “Nassor” or “Nassoro Nkupama,” and that litigation exists in which Junaco sought a declaration that Nkupama ceased to be a shareholder and director after 2008 — implying a historical shareholder dispute.</w:t>
      </w:r>
      <w:r>
        <w:rPr>
          <w:b/>
          <w:bCs/>
          <w:color w:val="B91C1C"/>
          <w:sz w:val="18"/>
          <w:szCs w:val="18"/>
        </w:rPr>
        <w:t xml:space="preserve">  [UNVERIFIED]</w:t>
      </w:r>
    </w:p>
    <w:p>
      <w:pPr>
        <w:spacing w:after="200"/>
      </w:pPr>
      <w:r>
        <w:t xml:space="preserve">A targeted search for this name against Junaco returned nothing. Note that the Tanzanian court record is demonstrably searchable — four other Junaco proceedings surfaced by the same method — so the absence here carries a little more weight than it did before, though a company-division shareholder action may simply be unreported. If accurate, this would be a material governance flag warranting confirmation of the current shareholder register and board composition before any transaction.</w:t>
      </w:r>
    </w:p>
    <w:p>
      <w:pPr>
        <w:pStyle w:val="Heading2"/>
        <w:keepNext/>
        <w:spacing w:after="120" w:before="260"/>
      </w:pPr>
      <w:r>
        <w:t xml:space="preserve">5.3 Other entities attributed to Lambert</w:t>
      </w:r>
    </w:p>
    <w:p>
      <w:pPr>
        <w:pStyle w:val="ListParagraph"/>
        <w:numPr>
          <w:ilvl w:val="0"/>
          <w:numId w:val="1"/>
        </w:numPr>
        <w:spacing w:after="80"/>
      </w:pPr>
      <w:r>
        <w:t xml:space="preserve">Technomed Company Limited — reported as a medical equipment company chaired or founded by Lambert. A Dar es Salaam company of that name does exist and trades in medical equipment, but nothing connects it to Lambert or Junaco.</w:t>
      </w:r>
      <w:r>
        <w:rPr>
          <w:b/>
          <w:bCs/>
          <w:color w:val="B91C1C"/>
          <w:sz w:val="18"/>
          <w:szCs w:val="18"/>
        </w:rPr>
        <w:t xml:space="preserve">  [UNVERIFIED]</w:t>
      </w:r>
    </w:p>
    <w:p>
      <w:pPr>
        <w:pStyle w:val="ListParagraph"/>
        <w:numPr>
          <w:ilvl w:val="0"/>
          <w:numId w:val="1"/>
        </w:numPr>
        <w:spacing w:after="140"/>
      </w:pPr>
      <w:r>
        <w:t xml:space="preserve">Selected Systems Limited — reported as an ICT and systems integration company chaired or founded by Lambert. Neither the company nor the attribution could be corroborated.</w:t>
      </w:r>
      <w:r>
        <w:rPr>
          <w:b/>
          <w:bCs/>
          <w:color w:val="B91C1C"/>
          <w:sz w:val="18"/>
          <w:szCs w:val="18"/>
        </w:rPr>
        <w:t xml:space="preserve">  [UNVERIFIED]</w:t>
      </w:r>
    </w:p>
    <w:p>
      <w:pPr>
        <w:pStyle w:val="Heading2"/>
        <w:keepNext/>
        <w:spacing w:after="120" w:before="260"/>
      </w:pPr>
      <w:r>
        <w:t xml:space="preserve">5.4 Regulatory registration</w:t>
      </w:r>
    </w:p>
    <w:p>
      <w:pPr>
        <w:pStyle w:val="ListParagraph"/>
        <w:numPr>
          <w:ilvl w:val="0"/>
          <w:numId w:val="1"/>
        </w:numPr>
        <w:spacing w:after="80"/>
      </w:pPr>
      <w:r>
        <w:t xml:space="preserve">Reported registration with Tanzania's Contractors Registration Board (CRB) as a Specialist Mechanical Contractor, Class 3, Local Contractor, with the Managing Director listed as “Justinian Lambert.”</w:t>
      </w:r>
      <w:r>
        <w:rPr>
          <w:b/>
          <w:bCs/>
          <w:color w:val="B91C1C"/>
          <w:sz w:val="18"/>
          <w:szCs w:val="18"/>
        </w:rPr>
        <w:t xml:space="preserve">  [UNVERIFIED]</w:t>
      </w:r>
    </w:p>
    <w:p>
      <w:pPr>
        <w:spacing w:after="200"/>
      </w:pPr>
      <w:r>
        <w:t xml:space="preserve">The “Justinian” element of this claim is now corroborated independently — that is the form used in the Ugandan court records — which modestly increases the credibility of the rest of it. The registration itself is still unconfirmed and should be checked directly against the CRB public register.</w:t>
      </w:r>
    </w:p>
    <w:p>
      <w:pPr>
        <w:pStyle w:val="Heading2"/>
        <w:keepNext/>
        <w:spacing w:after="120" w:before="260"/>
      </w:pPr>
      <w:r>
        <w:t xml:space="preserve">5.5 Financial position</w:t>
      </w:r>
    </w:p>
    <w:p>
      <w:pPr>
        <w:spacing w:after="200"/>
      </w:pPr>
      <w:r>
        <w:t xml:space="preserve">No audited financial statements for Junaco Group or any subsidiary are publicly available through any accessible source. Any assessment of leverage, profitability or cash flow would be speculative. This remains the largest single gap in the file, and it is now more consequential than it was in the previous draft: the litigation record establishes material credit exposure, and there is no financial information against which to size it.</w:t>
      </w:r>
    </w:p>
    <w:p>
      <w:pPr>
        <w:pStyle w:val="Heading1"/>
        <w:spacing w:after="160" w:before="360"/>
      </w:pPr>
      <w:r>
        <w:t xml:space="preserve">6. Risk Matrix (Revised)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640"/>
      </w:tblGrid>
      <w:tr>
        <w:trPr>
          <w:tblHeader/>
        </w:trPr>
        <w:tc>
          <w:tcPr>
            <w:tcW w:type="dxa" w:w="2400"/>
            <w:shd w:fill="F2F2F2" w:color="auto" w:val="clear"/>
            <w:tcMar>
              <w:top w:type="dxa" w:w="100"/>
              <w:left w:type="dxa" w:w="120"/>
              <w:bottom w:type="dxa" w:w="100"/>
              <w:right w:type="dxa" w:w="120"/>
            </w:tcMar>
          </w:tcPr>
          <w:p>
            <w:r>
              <w:rPr>
                <w:b/>
                <w:bCs/>
                <w:sz w:val="20"/>
                <w:szCs w:val="20"/>
              </w:rPr>
              <w:t xml:space="preserve">Area</w:t>
            </w:r>
          </w:p>
        </w:tc>
        <w:tc>
          <w:tcPr>
            <w:tcW w:type="dxa" w:w="1500"/>
            <w:shd w:fill="F2F2F2" w:color="auto" w:val="clear"/>
            <w:tcMar>
              <w:top w:type="dxa" w:w="100"/>
              <w:left w:type="dxa" w:w="120"/>
              <w:bottom w:type="dxa" w:w="100"/>
              <w:right w:type="dxa" w:w="120"/>
            </w:tcMar>
          </w:tcPr>
          <w:p>
            <w:r>
              <w:rPr>
                <w:b/>
                <w:bCs/>
                <w:sz w:val="20"/>
                <w:szCs w:val="20"/>
              </w:rPr>
              <w:t xml:space="preserve">Rating</w:t>
            </w:r>
          </w:p>
        </w:tc>
        <w:tc>
          <w:tcPr>
            <w:tcW w:type="dxa" w:w="5640"/>
            <w:shd w:fill="F2F2F2" w:color="auto" w:val="clear"/>
            <w:tcMar>
              <w:top w:type="dxa" w:w="100"/>
              <w:left w:type="dxa" w:w="120"/>
              <w:bottom w:type="dxa" w:w="100"/>
              <w:right w:type="dxa" w:w="120"/>
            </w:tcMar>
          </w:tcPr>
          <w:p>
            <w:r>
              <w:rPr>
                <w:b/>
                <w:bCs/>
                <w:sz w:val="20"/>
                <w:szCs w:val="20"/>
              </w:rPr>
              <w:t xml:space="preserve">Basis</w:t>
            </w:r>
          </w:p>
        </w:tc>
      </w:tr>
      <w:tr>
        <w:tc>
          <w:tcPr>
            <w:tcW w:type="dxa" w:w="2400"/>
            <w:tcMar>
              <w:top w:type="dxa" w:w="100"/>
              <w:left w:type="dxa" w:w="120"/>
              <w:bottom w:type="dxa" w:w="100"/>
              <w:right w:type="dxa" w:w="120"/>
            </w:tcMar>
          </w:tcPr>
          <w:p>
            <w:r>
              <w:rPr>
                <w:sz w:val="20"/>
                <w:szCs w:val="20"/>
              </w:rPr>
              <w:t xml:space="preserve">Operational capability</w:t>
            </w:r>
          </w:p>
        </w:tc>
        <w:tc>
          <w:tcPr>
            <w:tcW w:type="dxa" w:w="1500"/>
            <w:tcMar>
              <w:top w:type="dxa" w:w="100"/>
              <w:left w:type="dxa" w:w="120"/>
              <w:bottom w:type="dxa" w:w="100"/>
              <w:right w:type="dxa" w:w="120"/>
            </w:tcMar>
          </w:tcPr>
          <w:p>
            <w:r>
              <w:rPr>
                <w:sz w:val="20"/>
                <w:szCs w:val="20"/>
              </w:rPr>
              <w:t xml:space="preserve">Low risk</w:t>
            </w:r>
          </w:p>
        </w:tc>
        <w:tc>
          <w:tcPr>
            <w:tcW w:type="dxa" w:w="5640"/>
            <w:tcMar>
              <w:top w:type="dxa" w:w="100"/>
              <w:left w:type="dxa" w:w="120"/>
              <w:bottom w:type="dxa" w:w="100"/>
              <w:right w:type="dxa" w:w="120"/>
            </w:tcMar>
          </w:tcPr>
          <w:p>
            <w:r>
              <w:rPr>
                <w:sz w:val="20"/>
                <w:szCs w:val="20"/>
              </w:rPr>
              <w:t xml:space="preserve">25-year operating history; seven-country corporate footprint; confirmed multilateral contracts across three institutions.</w:t>
            </w:r>
            <w:r>
              <w:rPr>
                <w:b/>
                <w:bCs/>
                <w:color w:val="166534"/>
                <w:sz w:val="18"/>
                <w:szCs w:val="18"/>
              </w:rPr>
              <w:t xml:space="preserve">  [VERIFIED]</w:t>
            </w:r>
          </w:p>
        </w:tc>
      </w:tr>
      <w:tr>
        <w:tc>
          <w:tcPr>
            <w:tcW w:type="dxa" w:w="2400"/>
            <w:tcMar>
              <w:top w:type="dxa" w:w="100"/>
              <w:left w:type="dxa" w:w="120"/>
              <w:bottom w:type="dxa" w:w="100"/>
              <w:right w:type="dxa" w:w="120"/>
            </w:tcMar>
          </w:tcPr>
          <w:p>
            <w:r>
              <w:rPr>
                <w:sz w:val="20"/>
                <w:szCs w:val="20"/>
              </w:rPr>
              <w:t xml:space="preserve">Industry expertise</w:t>
            </w:r>
          </w:p>
        </w:tc>
        <w:tc>
          <w:tcPr>
            <w:tcW w:type="dxa" w:w="1500"/>
            <w:tcMar>
              <w:top w:type="dxa" w:w="100"/>
              <w:left w:type="dxa" w:w="120"/>
              <w:bottom w:type="dxa" w:w="100"/>
              <w:right w:type="dxa" w:w="120"/>
            </w:tcMar>
          </w:tcPr>
          <w:p>
            <w:r>
              <w:rPr>
                <w:sz w:val="20"/>
                <w:szCs w:val="20"/>
              </w:rPr>
              <w:t xml:space="preserve">Low risk</w:t>
            </w:r>
          </w:p>
        </w:tc>
        <w:tc>
          <w:tcPr>
            <w:tcW w:type="dxa" w:w="5640"/>
            <w:tcMar>
              <w:top w:type="dxa" w:w="100"/>
              <w:left w:type="dxa" w:w="120"/>
              <w:bottom w:type="dxa" w:w="100"/>
              <w:right w:type="dxa" w:w="120"/>
            </w:tcMar>
          </w:tcPr>
          <w:p>
            <w:r>
              <w:rPr>
                <w:sz w:val="20"/>
                <w:szCs w:val="20"/>
              </w:rPr>
              <w:t xml:space="preserve">Deep, sustained focus on water and industrial infrastructure since 2002, with consistent product depth across markets.</w:t>
            </w:r>
            <w:r>
              <w:rPr>
                <w:b/>
                <w:bCs/>
                <w:color w:val="166534"/>
                <w:sz w:val="18"/>
                <w:szCs w:val="18"/>
              </w:rPr>
              <w:t xml:space="preserve">  [VERIFIED]</w:t>
            </w:r>
          </w:p>
        </w:tc>
      </w:tr>
      <w:tr>
        <w:tc>
          <w:tcPr>
            <w:tcW w:type="dxa" w:w="2400"/>
            <w:tcMar>
              <w:top w:type="dxa" w:w="100"/>
              <w:left w:type="dxa" w:w="120"/>
              <w:bottom w:type="dxa" w:w="100"/>
              <w:right w:type="dxa" w:w="120"/>
            </w:tcMar>
          </w:tcPr>
          <w:p>
            <w:r>
              <w:rPr>
                <w:sz w:val="20"/>
                <w:szCs w:val="20"/>
              </w:rPr>
              <w:t xml:space="preserve">Litigation</w:t>
            </w:r>
          </w:p>
        </w:tc>
        <w:tc>
          <w:tcPr>
            <w:tcW w:type="dxa" w:w="1500"/>
            <w:tcMar>
              <w:top w:type="dxa" w:w="100"/>
              <w:left w:type="dxa" w:w="120"/>
              <w:bottom w:type="dxa" w:w="100"/>
              <w:right w:type="dxa" w:w="120"/>
            </w:tcMar>
          </w:tcPr>
          <w:p>
            <w:r>
              <w:rPr>
                <w:sz w:val="20"/>
                <w:szCs w:val="20"/>
              </w:rPr>
              <w:t xml:space="preserve">Elevated</w:t>
            </w:r>
          </w:p>
        </w:tc>
        <w:tc>
          <w:tcPr>
            <w:tcW w:type="dxa" w:w="5640"/>
            <w:tcMar>
              <w:top w:type="dxa" w:w="100"/>
              <w:left w:type="dxa" w:w="120"/>
              <w:bottom w:type="dxa" w:w="100"/>
              <w:right w:type="dxa" w:w="120"/>
            </w:tcMar>
          </w:tcPr>
          <w:p>
            <w:r>
              <w:rPr>
                <w:sz w:val="20"/>
                <w:szCs w:val="20"/>
              </w:rPr>
              <w:t xml:space="preserve">Re-rated from Unrated. Five reported proceedings in two jurisdictions, including an eight-year commercial dispute that reached execution and a bank recovery action where stay was refused twice. Merits and current status unknown, so this is a rating on exposure and pattern, not on liability.</w:t>
            </w:r>
            <w:r>
              <w:rPr>
                <w:b/>
                <w:bCs/>
                <w:color w:val="B45309"/>
                <w:sz w:val="18"/>
                <w:szCs w:val="18"/>
              </w:rPr>
              <w:t xml:space="preserve">  [PARTIALLY VERIFIED]</w:t>
            </w:r>
          </w:p>
        </w:tc>
      </w:tr>
      <w:tr>
        <w:tc>
          <w:tcPr>
            <w:tcW w:type="dxa" w:w="2400"/>
            <w:tcMar>
              <w:top w:type="dxa" w:w="100"/>
              <w:left w:type="dxa" w:w="120"/>
              <w:bottom w:type="dxa" w:w="100"/>
              <w:right w:type="dxa" w:w="120"/>
            </w:tcMar>
          </w:tcPr>
          <w:p>
            <w:r>
              <w:rPr>
                <w:sz w:val="20"/>
                <w:szCs w:val="20"/>
              </w:rPr>
              <w:t xml:space="preserve">Financial leverage</w:t>
            </w:r>
          </w:p>
        </w:tc>
        <w:tc>
          <w:tcPr>
            <w:tcW w:type="dxa" w:w="1500"/>
            <w:tcMar>
              <w:top w:type="dxa" w:w="100"/>
              <w:left w:type="dxa" w:w="120"/>
              <w:bottom w:type="dxa" w:w="100"/>
              <w:right w:type="dxa" w:w="120"/>
            </w:tcMar>
          </w:tcPr>
          <w:p>
            <w:r>
              <w:rPr>
                <w:sz w:val="20"/>
                <w:szCs w:val="20"/>
              </w:rPr>
              <w:t xml:space="preserve">Elevated</w:t>
            </w:r>
          </w:p>
        </w:tc>
        <w:tc>
          <w:tcPr>
            <w:tcW w:type="dxa" w:w="5640"/>
            <w:tcMar>
              <w:top w:type="dxa" w:w="100"/>
              <w:left w:type="dxa" w:w="120"/>
              <w:bottom w:type="dxa" w:w="100"/>
              <w:right w:type="dxa" w:w="120"/>
            </w:tcMar>
          </w:tcPr>
          <w:p>
            <w:r>
              <w:rPr>
                <w:sz w:val="20"/>
                <w:szCs w:val="20"/>
              </w:rPr>
              <w:t xml:space="preserve">Re-rated from Unrated. A UGX 12.8bn unstayed claim and a mortgage-forum dispute with a second bank establish that leverage exists and has been contested. No audited accounts are available to size it against the balance sheet, so the rating cannot be refined further without them.</w:t>
            </w:r>
            <w:r>
              <w:rPr>
                <w:b/>
                <w:bCs/>
                <w:color w:val="B45309"/>
                <w:sz w:val="18"/>
                <w:szCs w:val="18"/>
              </w:rPr>
              <w:t xml:space="preserve">  [PARTIALLY VERIFIED]</w:t>
            </w:r>
          </w:p>
        </w:tc>
      </w:tr>
      <w:tr>
        <w:tc>
          <w:tcPr>
            <w:tcW w:type="dxa" w:w="2400"/>
            <w:tcMar>
              <w:top w:type="dxa" w:w="100"/>
              <w:left w:type="dxa" w:w="120"/>
              <w:bottom w:type="dxa" w:w="100"/>
              <w:right w:type="dxa" w:w="120"/>
            </w:tcMar>
          </w:tcPr>
          <w:p>
            <w:r>
              <w:rPr>
                <w:sz w:val="20"/>
                <w:szCs w:val="20"/>
              </w:rPr>
              <w:t xml:space="preserve">Project execution</w:t>
            </w:r>
          </w:p>
        </w:tc>
        <w:tc>
          <w:tcPr>
            <w:tcW w:type="dxa" w:w="1500"/>
            <w:tcMar>
              <w:top w:type="dxa" w:w="100"/>
              <w:left w:type="dxa" w:w="120"/>
              <w:bottom w:type="dxa" w:w="100"/>
              <w:right w:type="dxa" w:w="120"/>
            </w:tcMar>
          </w:tcPr>
          <w:p>
            <w:r>
              <w:rPr>
                <w:sz w:val="20"/>
                <w:szCs w:val="20"/>
              </w:rPr>
              <w:t xml:space="preserve">Elevated</w:t>
            </w:r>
          </w:p>
        </w:tc>
        <w:tc>
          <w:tcPr>
            <w:tcW w:type="dxa" w:w="5640"/>
            <w:tcMar>
              <w:top w:type="dxa" w:w="100"/>
              <w:left w:type="dxa" w:w="120"/>
              <w:bottom w:type="dxa" w:w="100"/>
              <w:right w:type="dxa" w:w="120"/>
            </w:tcMar>
          </w:tcPr>
          <w:p>
            <w:r>
              <w:rPr>
                <w:sz w:val="20"/>
                <w:szCs w:val="20"/>
              </w:rPr>
              <w:t xml:space="preserve">New category. The flagship chlor-alkali plant appears to be restarting in 2026 with a new contractor at the same capacity announced in 2018, after the JV partner's collapse. An eight-year slip on the group's principal capital project is material whatever the cause.</w:t>
            </w:r>
            <w:r>
              <w:rPr>
                <w:b/>
                <w:bCs/>
                <w:color w:val="B45309"/>
                <w:sz w:val="18"/>
                <w:szCs w:val="18"/>
              </w:rPr>
              <w:t xml:space="preserve">  [PARTIALLY VERIFIED]</w:t>
            </w:r>
          </w:p>
        </w:tc>
      </w:tr>
      <w:tr>
        <w:tc>
          <w:tcPr>
            <w:tcW w:type="dxa" w:w="2400"/>
            <w:tcMar>
              <w:top w:type="dxa" w:w="100"/>
              <w:left w:type="dxa" w:w="120"/>
              <w:bottom w:type="dxa" w:w="100"/>
              <w:right w:type="dxa" w:w="120"/>
            </w:tcMar>
          </w:tcPr>
          <w:p>
            <w:r>
              <w:rPr>
                <w:sz w:val="20"/>
                <w:szCs w:val="20"/>
              </w:rPr>
              <w:t xml:space="preserve">Governance</w:t>
            </w:r>
          </w:p>
        </w:tc>
        <w:tc>
          <w:tcPr>
            <w:tcW w:type="dxa" w:w="1500"/>
            <w:tcMar>
              <w:top w:type="dxa" w:w="100"/>
              <w:left w:type="dxa" w:w="120"/>
              <w:bottom w:type="dxa" w:w="100"/>
              <w:right w:type="dxa" w:w="120"/>
            </w:tcMar>
          </w:tcPr>
          <w:p>
            <w:r>
              <w:rPr>
                <w:sz w:val="20"/>
                <w:szCs w:val="20"/>
              </w:rPr>
              <w:t xml:space="preserve">Unrated</w:t>
            </w:r>
          </w:p>
        </w:tc>
        <w:tc>
          <w:tcPr>
            <w:tcW w:type="dxa" w:w="5640"/>
            <w:tcMar>
              <w:top w:type="dxa" w:w="100"/>
              <w:left w:type="dxa" w:w="120"/>
              <w:bottom w:type="dxa" w:w="100"/>
              <w:right w:type="dxa" w:w="120"/>
            </w:tcMar>
          </w:tcPr>
          <w:p>
            <w:r>
              <w:rPr>
                <w:sz w:val="20"/>
                <w:szCs w:val="20"/>
              </w:rPr>
              <w:t xml:space="preserve">The reported historical shareholder dispute remains unverified. No current shareholder register or board composition has been obtained for any group entity, and the ownership of the JV vehicles is unclear following the partner's liquidation and a reported 2024 transaction.</w:t>
            </w:r>
          </w:p>
        </w:tc>
      </w:tr>
      <w:tr>
        <w:tc>
          <w:tcPr>
            <w:tcW w:type="dxa" w:w="2400"/>
            <w:tcMar>
              <w:top w:type="dxa" w:w="100"/>
              <w:left w:type="dxa" w:w="120"/>
              <w:bottom w:type="dxa" w:w="100"/>
              <w:right w:type="dxa" w:w="120"/>
            </w:tcMar>
          </w:tcPr>
          <w:p>
            <w:r>
              <w:rPr>
                <w:sz w:val="20"/>
                <w:szCs w:val="20"/>
              </w:rPr>
              <w:t xml:space="preserve">Counterparty concentration</w:t>
            </w:r>
          </w:p>
        </w:tc>
        <w:tc>
          <w:tcPr>
            <w:tcW w:type="dxa" w:w="1500"/>
            <w:tcMar>
              <w:top w:type="dxa" w:w="100"/>
              <w:left w:type="dxa" w:w="120"/>
              <w:bottom w:type="dxa" w:w="100"/>
              <w:right w:type="dxa" w:w="120"/>
            </w:tcMar>
          </w:tcPr>
          <w:p>
            <w:r>
              <w:rPr>
                <w:sz w:val="20"/>
                <w:szCs w:val="20"/>
              </w:rPr>
              <w:t xml:space="preserve">Watch</w:t>
            </w:r>
          </w:p>
        </w:tc>
        <w:tc>
          <w:tcPr>
            <w:tcW w:type="dxa" w:w="5640"/>
            <w:tcMar>
              <w:top w:type="dxa" w:w="100"/>
              <w:left w:type="dxa" w:w="120"/>
              <w:bottom w:type="dxa" w:w="100"/>
              <w:right w:type="dxa" w:w="120"/>
            </w:tcMar>
          </w:tcPr>
          <w:p>
            <w:r>
              <w:rPr>
                <w:sz w:val="20"/>
                <w:szCs w:val="20"/>
              </w:rPr>
              <w:t xml:space="preserve">New category. Revenue visibility depends heavily on donor-funded utility procurement (World Bank, JICA, AfDB) and on national water utilities. That is a credential, but it concentrates both receivable risk and working-capital cycles — which is precisely the pressure point the Ugandan facilities were financing.</w:t>
            </w:r>
          </w:p>
        </w:tc>
      </w:tr>
      <w:tr>
        <w:tc>
          <w:tcPr>
            <w:tcW w:type="dxa" w:w="2400"/>
            <w:tcMar>
              <w:top w:type="dxa" w:w="100"/>
              <w:left w:type="dxa" w:w="120"/>
              <w:bottom w:type="dxa" w:w="100"/>
              <w:right w:type="dxa" w:w="120"/>
            </w:tcMar>
          </w:tcPr>
          <w:p>
            <w:r>
              <w:rPr>
                <w:sz w:val="20"/>
                <w:szCs w:val="20"/>
              </w:rPr>
              <w:t xml:space="preserve">Regulatory</w:t>
            </w:r>
          </w:p>
        </w:tc>
        <w:tc>
          <w:tcPr>
            <w:tcW w:type="dxa" w:w="1500"/>
            <w:tcMar>
              <w:top w:type="dxa" w:w="100"/>
              <w:left w:type="dxa" w:w="120"/>
              <w:bottom w:type="dxa" w:w="100"/>
              <w:right w:type="dxa" w:w="120"/>
            </w:tcMar>
          </w:tcPr>
          <w:p>
            <w:r>
              <w:rPr>
                <w:sz w:val="20"/>
                <w:szCs w:val="20"/>
              </w:rPr>
              <w:t xml:space="preserve">Low risk</w:t>
            </w:r>
          </w:p>
        </w:tc>
        <w:tc>
          <w:tcPr>
            <w:tcW w:type="dxa" w:w="5640"/>
            <w:tcMar>
              <w:top w:type="dxa" w:w="100"/>
              <w:left w:type="dxa" w:w="120"/>
              <w:bottom w:type="dxa" w:w="100"/>
              <w:right w:type="dxa" w:w="120"/>
            </w:tcMar>
          </w:tcPr>
          <w:p>
            <w:r>
              <w:rPr>
                <w:sz w:val="20"/>
                <w:szCs w:val="20"/>
              </w:rPr>
              <w:t xml:space="preserve">No sanctions, criminal convictions or regulatory actions found in open search, and no appearance on the World Bank's debarred-firms listing was identified. Absence of evidence from open search only — not an exhaustive screen.</w:t>
            </w:r>
            <w:r>
              <w:rPr>
                <w:b/>
                <w:bCs/>
                <w:color w:val="166534"/>
                <w:sz w:val="18"/>
                <w:szCs w:val="18"/>
              </w:rPr>
              <w:t xml:space="preserve">  [VERIFIED]</w:t>
            </w:r>
          </w:p>
        </w:tc>
      </w:tr>
      <w:tr>
        <w:tc>
          <w:tcPr>
            <w:tcW w:type="dxa" w:w="2400"/>
            <w:tcMar>
              <w:top w:type="dxa" w:w="100"/>
              <w:left w:type="dxa" w:w="120"/>
              <w:bottom w:type="dxa" w:w="100"/>
              <w:right w:type="dxa" w:w="120"/>
            </w:tcMar>
          </w:tcPr>
          <w:p>
            <w:r>
              <w:rPr>
                <w:sz w:val="20"/>
                <w:szCs w:val="20"/>
              </w:rPr>
              <w:t xml:space="preserve">Reputation</w:t>
            </w:r>
          </w:p>
        </w:tc>
        <w:tc>
          <w:tcPr>
            <w:tcW w:type="dxa" w:w="1500"/>
            <w:tcMar>
              <w:top w:type="dxa" w:w="100"/>
              <w:left w:type="dxa" w:w="120"/>
              <w:bottom w:type="dxa" w:w="100"/>
              <w:right w:type="dxa" w:w="120"/>
            </w:tcMar>
          </w:tcPr>
          <w:p>
            <w:r>
              <w:rPr>
                <w:sz w:val="20"/>
                <w:szCs w:val="20"/>
              </w:rPr>
              <w:t xml:space="preserve">Unrated</w:t>
            </w:r>
          </w:p>
        </w:tc>
        <w:tc>
          <w:tcPr>
            <w:tcW w:type="dxa" w:w="5640"/>
            <w:tcMar>
              <w:top w:type="dxa" w:w="100"/>
              <w:left w:type="dxa" w:w="120"/>
              <w:bottom w:type="dxa" w:w="100"/>
              <w:right w:type="dxa" w:w="120"/>
            </w:tcMar>
          </w:tcPr>
          <w:p>
            <w:r>
              <w:rPr>
                <w:sz w:val="20"/>
                <w:szCs w:val="20"/>
              </w:rPr>
              <w:t xml:space="preserve">Well-regarded in-sector per trade press, with genuine multilateral credentials. The litigation picture is now clearer but incomplete, and no adverse-media screen has been run.</w:t>
            </w:r>
          </w:p>
        </w:tc>
      </w:tr>
    </w:tbl>
    <w:p>
      <w:pPr>
        <w:spacing w:after="140"/>
      </w:pPr>
    </w:p>
    <w:p>
      <w:pPr>
        <w:spacing w:after="200"/>
      </w:pPr>
      <w:r>
        <w:rPr>
          <w:i/>
          <w:iCs/>
          <w:sz w:val="20"/>
          <w:szCs w:val="20"/>
        </w:rPr>
        <w:t xml:space="preserve">Note on ratings. “Elevated” means the file now contains concrete, sourced evidence of exposure in that area — not that a conclusion of default, insolvency or wrongdoing has been reached. “Unrated” continues to mean the underlying claims are unverified, not that risk is assumed to be low. A genuine risk rating still requires the confirmation steps in Section 7.</w:t>
      </w:r>
    </w:p>
    <w:p>
      <w:pPr>
        <w:pStyle w:val="Heading1"/>
        <w:spacing w:after="160" w:before="360"/>
      </w:pPr>
      <w:r>
        <w:t xml:space="preserve">7. Recommended Verification Steps Before Any Engagement</w:t>
      </w:r>
    </w:p>
    <w:p>
      <w:pPr>
        <w:spacing w:after="140"/>
      </w:pPr>
      <w:r>
        <w:t xml:space="preserve">Ordered by priority. The first four are load-bearing for any credit or investment decision.</w:t>
      </w:r>
    </w:p>
    <w:p>
      <w:pPr>
        <w:pStyle w:val="ListParagraph"/>
        <w:numPr>
          <w:ilvl w:val="0"/>
          <w:numId w:val="1"/>
        </w:numPr>
        <w:spacing w:after="80"/>
      </w:pPr>
      <w:r>
        <w:t xml:space="preserve">Establish the current status of the DFCU Bank judgment debt in Uganda — satisfied, settled, restructured, or outstanding and enforceable — and pull [2023] UGCommC 37 and [2023] UGCA 158 in full, together with the substantive suit behind them.</w:t>
      </w:r>
    </w:p>
    <w:p>
      <w:pPr>
        <w:pStyle w:val="ListParagraph"/>
        <w:numPr>
          <w:ilvl w:val="0"/>
          <w:numId w:val="1"/>
        </w:numPr>
        <w:spacing w:after="80"/>
      </w:pPr>
      <w:r>
        <w:t xml:space="preserve">Request audited financial statements for Junaco (T) Ltd and Junaco Group of Companies Ltd (minimum five years) directly from the company. Independent financials do not appear to exist in the public domain, so this can only come from the counterparty — and a refusal is itself informative.</w:t>
      </w:r>
    </w:p>
    <w:p>
      <w:pPr>
        <w:pStyle w:val="ListParagraph"/>
        <w:numPr>
          <w:ilvl w:val="0"/>
          <w:numId w:val="1"/>
        </w:numPr>
        <w:spacing w:after="80"/>
      </w:pPr>
      <w:r>
        <w:t xml:space="preserve">Pull a current BRELA (Tanzania) registry extract for Junaco (T) Ltd, Junaco Group of Companies Ltd, Msufini Tanzania Ltd, Marungu Plantation Ltd, Shift Cargo Ltd and Clarkson Insurance Brokers (T) Ltd — directors, shareholders, registration numbers, filing history and any registered charges.</w:t>
      </w:r>
    </w:p>
    <w:p>
      <w:pPr>
        <w:pStyle w:val="ListParagraph"/>
        <w:numPr>
          <w:ilvl w:val="0"/>
          <w:numId w:val="1"/>
        </w:numPr>
        <w:spacing w:after="80"/>
      </w:pPr>
      <w:r>
        <w:t xml:space="preserve">Obtain the full text of [2018] TZCA 290, [2022] TZHCComD 15, [2022] TZHCComD 207 and the Commercial Case No. 159 of 2014 file to establish quantum, outcome and whether the Harel Mallac judgment debt has been satisfied.</w:t>
      </w:r>
    </w:p>
    <w:p>
      <w:pPr>
        <w:pStyle w:val="ListParagraph"/>
        <w:numPr>
          <w:ilvl w:val="0"/>
          <w:numId w:val="1"/>
        </w:numPr>
        <w:spacing w:after="80"/>
      </w:pPr>
      <w:r>
        <w:t xml:space="preserve">Obtain [2022] TZHCLandD 74 and [2022] TZHCLandD 117, and run a full-name search of the Tanzanian High Court (Commercial and Land Divisions) and Court of Appeal registries for any other proceedings involving “Justin Lambert,” “Justinian Lambert,” “Junaco” or “Msufini.”</w:t>
      </w:r>
    </w:p>
    <w:p>
      <w:pPr>
        <w:pStyle w:val="ListParagraph"/>
        <w:numPr>
          <w:ilvl w:val="0"/>
          <w:numId w:val="1"/>
        </w:numPr>
        <w:spacing w:after="80"/>
      </w:pPr>
      <w:r>
        <w:t xml:space="preserve">Establish the current ownership and status of Msufini Tanzania Limited and the Dubai SPV (Sufini Holding Limited / Msufini LLC) following Serba Dinamik's liquidation and the reported March 2024 transaction; and confirm the financing behind the Nuberg EPC contract.</w:t>
      </w:r>
    </w:p>
    <w:p>
      <w:pPr>
        <w:pStyle w:val="ListParagraph"/>
        <w:numPr>
          <w:ilvl w:val="0"/>
          <w:numId w:val="1"/>
        </w:numPr>
        <w:spacing w:after="80"/>
      </w:pPr>
      <w:r>
        <w:t xml:space="preserve">Identify Vedastina Justinian, the third applicant in the Ugandan proceedings, and include her in any screening — she is within the obligor or guarantor group.</w:t>
      </w:r>
    </w:p>
    <w:p>
      <w:pPr>
        <w:pStyle w:val="ListParagraph"/>
        <w:numPr>
          <w:ilvl w:val="0"/>
          <w:numId w:val="1"/>
        </w:numPr>
        <w:spacing w:after="80"/>
      </w:pPr>
      <w:r>
        <w:t xml:space="preserve">Confirm or refute the reported Nkupama shareholder dispute and obtain the current cap table and board composition.</w:t>
      </w:r>
    </w:p>
    <w:p>
      <w:pPr>
        <w:pStyle w:val="ListParagraph"/>
        <w:numPr>
          <w:ilvl w:val="0"/>
          <w:numId w:val="1"/>
        </w:numPr>
        <w:spacing w:after="80"/>
      </w:pPr>
      <w:r>
        <w:t xml:space="preserve">Resolve the unnamed Zambian affiliate against the Zambian registry (PACRA), and confirm the Kenyan registered office address against the Business Registration Service filing.</w:t>
      </w:r>
    </w:p>
    <w:p>
      <w:pPr>
        <w:pStyle w:val="ListParagraph"/>
        <w:numPr>
          <w:ilvl w:val="0"/>
          <w:numId w:val="1"/>
        </w:numPr>
        <w:spacing w:after="80"/>
      </w:pPr>
      <w:r>
        <w:t xml:space="preserve">Verify Technomed Company Limited and Selected Systems Limited as Lambert-affiliated entities, if relevant to scope — a BRELA director search against his name is the efficient route, and will also surface any entity not named “Junaco.”</w:t>
      </w:r>
    </w:p>
    <w:p>
      <w:pPr>
        <w:pStyle w:val="ListParagraph"/>
        <w:numPr>
          <w:ilvl w:val="0"/>
          <w:numId w:val="1"/>
        </w:numPr>
        <w:spacing w:after="80"/>
      </w:pPr>
      <w:r>
        <w:t xml:space="preserve">Confirm CRB (Contractors Registration Board) registration status and class directly with the CRB.</w:t>
      </w:r>
    </w:p>
    <w:p>
      <w:pPr>
        <w:pStyle w:val="ListParagraph"/>
        <w:numPr>
          <w:ilvl w:val="0"/>
          <w:numId w:val="1"/>
        </w:numPr>
        <w:spacing w:after="80"/>
      </w:pPr>
      <w:r>
        <w:t xml:space="preserve">Verify education credentials directly (University of Botswana degree-verification service or equivalent), if biographical accuracy is material to the engagement.</w:t>
      </w:r>
    </w:p>
    <w:p>
      <w:pPr>
        <w:pStyle w:val="ListParagraph"/>
        <w:numPr>
          <w:ilvl w:val="0"/>
          <w:numId w:val="1"/>
        </w:numPr>
        <w:spacing w:after="80"/>
      </w:pPr>
      <w:r>
        <w:t xml:space="preserve">Run formal sanctions, PEP and adverse-media screening through a dedicated compliance database (e.g. World-Check, Dow Jones) against both name forms and all mapped entities — not performed as part of this open-source review.</w:t>
      </w:r>
    </w:p>
    <w:p>
      <w:pPr>
        <w:spacing w:after="200"/>
      </w:pPr>
    </w:p>
    <w:p>
      <w:pPr>
        <w:pStyle w:val="Heading1"/>
        <w:spacing w:after="160" w:before="360"/>
      </w:pPr>
      <w:r>
        <w:t xml:space="preserve">8. Source Register</w:t>
      </w:r>
    </w:p>
    <w:p>
      <w:pPr>
        <w:spacing w:after="140"/>
      </w:pPr>
      <w:r>
        <w:t xml:space="preserve">Sources relied on in this revision, grouped by type, so that any individual finding can be re-pulled and tested.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rPr>
          <w:tblHeader/>
        </w:trPr>
        <w:tc>
          <w:tcPr>
            <w:tcW w:type="dxa" w:w="2600"/>
            <w:shd w:fill="F2F2F2" w:color="auto" w:val="clear"/>
            <w:tcMar>
              <w:top w:type="dxa" w:w="100"/>
              <w:left w:type="dxa" w:w="120"/>
              <w:bottom w:type="dxa" w:w="100"/>
              <w:right w:type="dxa" w:w="120"/>
            </w:tcMar>
          </w:tcPr>
          <w:p>
            <w:r>
              <w:rPr>
                <w:b/>
                <w:bCs/>
                <w:sz w:val="20"/>
                <w:szCs w:val="20"/>
              </w:rPr>
              <w:t xml:space="preserve">Type</w:t>
            </w:r>
          </w:p>
        </w:tc>
        <w:tc>
          <w:tcPr>
            <w:tcW w:type="dxa" w:w="6940"/>
            <w:shd w:fill="F2F2F2" w:color="auto" w:val="clear"/>
            <w:tcMar>
              <w:top w:type="dxa" w:w="100"/>
              <w:left w:type="dxa" w:w="120"/>
              <w:bottom w:type="dxa" w:w="100"/>
              <w:right w:type="dxa" w:w="120"/>
            </w:tcMar>
          </w:tcPr>
          <w:p>
            <w:r>
              <w:rPr>
                <w:b/>
                <w:bCs/>
                <w:sz w:val="20"/>
                <w:szCs w:val="20"/>
              </w:rPr>
              <w:t xml:space="preserve">Sources</w:t>
            </w:r>
          </w:p>
        </w:tc>
      </w:tr>
      <w:tr>
        <w:tc>
          <w:tcPr>
            <w:tcW w:type="dxa" w:w="2600"/>
            <w:tcMar>
              <w:top w:type="dxa" w:w="100"/>
              <w:left w:type="dxa" w:w="120"/>
              <w:bottom w:type="dxa" w:w="100"/>
              <w:right w:type="dxa" w:w="120"/>
            </w:tcMar>
          </w:tcPr>
          <w:p>
            <w:r>
              <w:rPr>
                <w:sz w:val="20"/>
                <w:szCs w:val="20"/>
              </w:rPr>
              <w:t xml:space="preserve">Company self-published</w:t>
            </w:r>
          </w:p>
        </w:tc>
        <w:tc>
          <w:tcPr>
            <w:tcW w:type="dxa" w:w="6940"/>
            <w:tcMar>
              <w:top w:type="dxa" w:w="100"/>
              <w:left w:type="dxa" w:w="120"/>
              <w:bottom w:type="dxa" w:w="100"/>
              <w:right w:type="dxa" w:w="120"/>
            </w:tcMar>
          </w:tcPr>
          <w:p>
            <w:r>
              <w:rPr>
                <w:sz w:val="20"/>
                <w:szCs w:val="20"/>
              </w:rPr>
              <w:t xml:space="preserve">junacogroup.com (About Us; Marungu Sisal Plantation; Shift Cargo; FirePro; product pages); Junaco Instagram (“Maji House” identity); LinkedIn company and personal listings</w:t>
            </w:r>
          </w:p>
        </w:tc>
      </w:tr>
      <w:tr>
        <w:tc>
          <w:tcPr>
            <w:tcW w:type="dxa" w:w="2600"/>
            <w:tcMar>
              <w:top w:type="dxa" w:w="100"/>
              <w:left w:type="dxa" w:w="120"/>
              <w:bottom w:type="dxa" w:w="100"/>
              <w:right w:type="dxa" w:w="120"/>
            </w:tcMar>
          </w:tcPr>
          <w:p>
            <w:r>
              <w:rPr>
                <w:sz w:val="20"/>
                <w:szCs w:val="20"/>
              </w:rPr>
              <w:t xml:space="preserve">Development-sector databases</w:t>
            </w:r>
          </w:p>
        </w:tc>
        <w:tc>
          <w:tcPr>
            <w:tcW w:type="dxa" w:w="6940"/>
            <w:tcMar>
              <w:top w:type="dxa" w:w="100"/>
              <w:left w:type="dxa" w:w="120"/>
              <w:bottom w:type="dxa" w:w="100"/>
              <w:right w:type="dxa" w:w="120"/>
            </w:tcMar>
          </w:tcPr>
          <w:p>
            <w:r>
              <w:rPr>
                <w:sz w:val="20"/>
                <w:szCs w:val="20"/>
              </w:rPr>
              <w:t xml:space="preserve">Devex organization profile for JUNACO Group Ltd (company background, offices, contract awards); Devex profile for Regideso SA</w:t>
            </w:r>
          </w:p>
        </w:tc>
      </w:tr>
      <w:tr>
        <w:tc>
          <w:tcPr>
            <w:tcW w:type="dxa" w:w="2600"/>
            <w:tcMar>
              <w:top w:type="dxa" w:w="100"/>
              <w:left w:type="dxa" w:w="120"/>
              <w:bottom w:type="dxa" w:w="100"/>
              <w:right w:type="dxa" w:w="120"/>
            </w:tcMar>
          </w:tcPr>
          <w:p>
            <w:r>
              <w:rPr>
                <w:sz w:val="20"/>
                <w:szCs w:val="20"/>
              </w:rPr>
              <w:t xml:space="preserve">Law reports and court records</w:t>
            </w:r>
          </w:p>
        </w:tc>
        <w:tc>
          <w:tcPr>
            <w:tcW w:type="dxa" w:w="6940"/>
            <w:tcMar>
              <w:top w:type="dxa" w:w="100"/>
              <w:left w:type="dxa" w:w="120"/>
              <w:bottom w:type="dxa" w:w="100"/>
              <w:right w:type="dxa" w:w="120"/>
            </w:tcMar>
          </w:tcPr>
          <w:p>
            <w:r>
              <w:rPr>
                <w:sz w:val="20"/>
                <w:szCs w:val="20"/>
              </w:rPr>
              <w:t xml:space="preserve">TanzLII (Tanzania Legal Information Institute) case index — Commercial and Land Divisions, Court of Appeal; ULII (Uganda Legal Information Institute) case index — Commercial Court and Court of Appeal; Tanzania Attorney General's e-library (elibrary.osg.go.tz) citation lists</w:t>
            </w:r>
          </w:p>
        </w:tc>
      </w:tr>
      <w:tr>
        <w:tc>
          <w:tcPr>
            <w:tcW w:type="dxa" w:w="2600"/>
            <w:tcMar>
              <w:top w:type="dxa" w:w="100"/>
              <w:left w:type="dxa" w:w="120"/>
              <w:bottom w:type="dxa" w:w="100"/>
              <w:right w:type="dxa" w:w="120"/>
            </w:tcMar>
          </w:tcPr>
          <w:p>
            <w:r>
              <w:rPr>
                <w:sz w:val="20"/>
                <w:szCs w:val="20"/>
              </w:rPr>
              <w:t xml:space="preserve">Financial and trade press</w:t>
            </w:r>
          </w:p>
        </w:tc>
        <w:tc>
          <w:tcPr>
            <w:tcW w:type="dxa" w:w="6940"/>
            <w:tcMar>
              <w:top w:type="dxa" w:w="100"/>
              <w:left w:type="dxa" w:w="120"/>
              <w:bottom w:type="dxa" w:w="100"/>
              <w:right w:type="dxa" w:w="120"/>
            </w:tcMar>
          </w:tcPr>
          <w:p>
            <w:r>
              <w:rPr>
                <w:sz w:val="20"/>
                <w:szCs w:val="20"/>
              </w:rPr>
              <w:t xml:space="preserve">The Edge Malaysia; The Star (Malaysia); The Malaysian Reserve; Focus Malaysia; MIDA; Indian Chemical News; Mining.com; African Review; CCE Online News; Hydrocarbon Processing; Hydrocarbon Engineering; Chemical Online; Fiinews; The Exchange Africa; Construction Review Online</w:t>
            </w:r>
          </w:p>
        </w:tc>
      </w:tr>
      <w:tr>
        <w:tc>
          <w:tcPr>
            <w:tcW w:type="dxa" w:w="2600"/>
            <w:tcMar>
              <w:top w:type="dxa" w:w="100"/>
              <w:left w:type="dxa" w:w="120"/>
              <w:bottom w:type="dxa" w:w="100"/>
              <w:right w:type="dxa" w:w="120"/>
            </w:tcMar>
          </w:tcPr>
          <w:p>
            <w:r>
              <w:rPr>
                <w:sz w:val="20"/>
                <w:szCs w:val="20"/>
              </w:rPr>
              <w:t xml:space="preserve">Corporate databases and directories</w:t>
            </w:r>
          </w:p>
        </w:tc>
        <w:tc>
          <w:tcPr>
            <w:tcW w:type="dxa" w:w="6940"/>
            <w:tcMar>
              <w:top w:type="dxa" w:w="100"/>
              <w:left w:type="dxa" w:w="120"/>
              <w:bottom w:type="dxa" w:w="100"/>
              <w:right w:type="dxa" w:w="120"/>
            </w:tcMar>
          </w:tcPr>
          <w:p>
            <w:r>
              <w:rPr>
                <w:sz w:val="20"/>
                <w:szCs w:val="20"/>
              </w:rPr>
              <w:t xml:space="preserve">PitchBook company record for Msufini Tanzania; Volza trade records; East Africa Tenders directory; RocketReach; ZoomInfo; UAE and Tanzanian business directories</w:t>
            </w:r>
          </w:p>
        </w:tc>
      </w:tr>
      <w:tr>
        <w:tc>
          <w:tcPr>
            <w:tcW w:type="dxa" w:w="2600"/>
            <w:tcMar>
              <w:top w:type="dxa" w:w="100"/>
              <w:left w:type="dxa" w:w="120"/>
              <w:bottom w:type="dxa" w:w="100"/>
              <w:right w:type="dxa" w:w="120"/>
            </w:tcMar>
          </w:tcPr>
          <w:p>
            <w:r>
              <w:rPr>
                <w:sz w:val="20"/>
                <w:szCs w:val="20"/>
              </w:rPr>
              <w:t xml:space="preserve">Partner and counterparty sites</w:t>
            </w:r>
          </w:p>
        </w:tc>
        <w:tc>
          <w:tcPr>
            <w:tcW w:type="dxa" w:w="6940"/>
            <w:tcMar>
              <w:top w:type="dxa" w:w="100"/>
              <w:left w:type="dxa" w:w="120"/>
              <w:bottom w:type="dxa" w:w="100"/>
              <w:right w:type="dxa" w:w="120"/>
            </w:tcMar>
          </w:tcPr>
          <w:p>
            <w:r>
              <w:rPr>
                <w:sz w:val="20"/>
                <w:szCs w:val="20"/>
              </w:rPr>
              <w:t xml:space="preserve">firepro.com; clarkson-group.com; Nuberg EPC announcements; technomed.co.tz</w:t>
            </w:r>
          </w:p>
        </w:tc>
      </w:tr>
      <w:tr>
        <w:tc>
          <w:tcPr>
            <w:tcW w:type="dxa" w:w="2600"/>
            <w:tcMar>
              <w:top w:type="dxa" w:w="100"/>
              <w:left w:type="dxa" w:w="120"/>
              <w:bottom w:type="dxa" w:w="100"/>
              <w:right w:type="dxa" w:w="120"/>
            </w:tcMar>
          </w:tcPr>
          <w:p>
            <w:r>
              <w:rPr>
                <w:sz w:val="20"/>
                <w:szCs w:val="20"/>
              </w:rPr>
              <w:t xml:space="preserve">Checked and returned nothing</w:t>
            </w:r>
          </w:p>
        </w:tc>
        <w:tc>
          <w:tcPr>
            <w:tcW w:type="dxa" w:w="6940"/>
            <w:tcMar>
              <w:top w:type="dxa" w:w="100"/>
              <w:left w:type="dxa" w:w="120"/>
              <w:bottom w:type="dxa" w:w="100"/>
              <w:right w:type="dxa" w:w="120"/>
            </w:tcMar>
          </w:tcPr>
          <w:p>
            <w:r>
              <w:rPr>
                <w:sz w:val="20"/>
                <w:szCs w:val="20"/>
              </w:rPr>
              <w:t xml:space="preserve">World Bank debarred-firms listing (no Junaco entry identified); searches for Junaco entities in Rwanda, Burundi, Malawi, Mozambique and Zambia; searches connecting Lambert to Technomed or Selected Systems; searches for the Nkupama dispute</w:t>
            </w:r>
          </w:p>
        </w:tc>
      </w:tr>
    </w:tbl>
    <w:p>
      <w:pPr>
        <w:spacing w:after="200"/>
      </w:pPr>
    </w:p>
    <w:p>
      <w:pPr>
        <w:spacing w:after="0"/>
      </w:pPr>
      <w:r>
        <w:rPr>
          <w:i/>
          <w:iCs/>
          <w:color w:val="6B7280"/>
          <w:sz w:val="20"/>
          <w:szCs w:val="20"/>
        </w:rPr>
        <w:t xml:space="preserve">This document was compiled from open-source web search and user-supplied material. Direct retrieval of several primary sources was blocked by the network policy applied to this session, and no court judgment cited here has been read in full. It is not a substitute for legal, financial or regulatory due diligence, and should not be relied upon as the sole basis for a transaction, credit, or investment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color w:val="9CA3AF"/>
        <w:sz w:val="16"/>
        <w:szCs w:val="16"/>
      </w:rPr>
      <w:t xml:space="preserve">Justin Lambert / Junaco Group — Profile &amp; Preliminary Due Diligence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1B6" w:sz="6" w:space="4"/>
      </w:pBdr>
      <w:spacing w:after="160" w:before="360"/>
    </w:pPr>
    <w:rPr>
      <w:rFonts w:ascii="Calibri" w:cs="Calibri" w:eastAsia="Calibri" w:hAnsi="Calibri"/>
      <w:b/>
      <w:bCs/>
      <w:color w:val="5B21B6"/>
      <w:sz w:val="30"/>
      <w:szCs w:val="30"/>
    </w:rPr>
  </w:style>
  <w:style w:type="paragraph" w:styleId="Heading2">
    <w:name w:val="Heading 2"/>
    <w:basedOn w:val="Normal"/>
    <w:next w:val="Normal"/>
    <w:qFormat/>
    <w:pPr>
      <w:spacing w:after="120" w:before="260"/>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2026-08-07T07:37:23.512Z</dcterms:created>
  <dcterms:modified xsi:type="dcterms:W3CDTF">2026-08-07T07:37:23.528Z</dcterms:modified>
</cp:coreProperties>
</file>

<file path=docProps/custom.xml><?xml version="1.0" encoding="utf-8"?>
<Properties xmlns="http://schemas.openxmlformats.org/officeDocument/2006/custom-properties" xmlns:vt="http://schemas.openxmlformats.org/officeDocument/2006/docPropsVTypes"/>
</file>