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Vos retours de recette</w:t>
      </w:r>
    </w:p>
    <w:p>
      <w:pPr>
        <w:pStyle w:val="Subtitle"/>
      </w:pPr>
      <w:r>
        <w:t xml:space="preserve">Or au Juste Prix — relecture et vérifications</w:t>
      </w:r>
    </w:p>
    <w:p>
      <w:pPr>
        <w:pStyle w:val="Date"/>
      </w:pPr>
      <w:r>
        <w:t xml:space="preserve">20 août 2026</w:t>
      </w:r>
    </w:p>
    <w:p>
      <w:pPr>
        <w:pStyle w:val="FirstParagraph"/>
      </w:pPr>
      <w:r>
        <w:t xml:space="preserve">Ce document reprend, une par une, les remarques que vous nous avez transmises</w:t>
      </w:r>
      <w:r>
        <w:t xml:space="preserve"> </w:t>
      </w:r>
      <w:r>
        <w:t xml:space="preserve">après vos essais du mois d’août. Pour chacune, nous sommes allés</w:t>
      </w:r>
      <w:r>
        <w:t xml:space="preserve"> </w:t>
      </w:r>
      <w:r>
        <w:t xml:space="preserve">vérifier dans le logiciel et dans vos propres dossiers ce qui se passait</w:t>
      </w:r>
      <w:r>
        <w:t xml:space="preserve"> </w:t>
      </w:r>
      <w:r>
        <w:t xml:space="preserve">réellement, et nous vous disons ce que nous en faisons.</w:t>
      </w:r>
    </w:p>
    <w:bookmarkStart w:id="9" w:name="ce-que-contient-ce-document"/>
    <w:p>
      <w:pPr>
        <w:pStyle w:val="Heading3"/>
      </w:pPr>
      <w:r>
        <w:t xml:space="preserve">Ce que contient ce document</w:t>
      </w:r>
    </w:p>
    <w:p>
      <w:pPr>
        <w:pStyle w:val="FirstParagraph"/>
      </w:pPr>
      <w:r>
        <w:rPr>
          <w:b/>
          <w:bCs/>
        </w:rPr>
        <w:t xml:space="preserve">Avant de commencer</w:t>
      </w:r>
      <w:r>
        <w:t xml:space="preserve"> </w:t>
      </w:r>
      <w:r>
        <w:t xml:space="preserve">— comment nous relire, et un mot sur trois problèmes qui</w:t>
      </w:r>
      <w:r>
        <w:t xml:space="preserve"> </w:t>
      </w:r>
      <w:r>
        <w:t xml:space="preserve">ne venaient pas de vous.</w:t>
      </w:r>
    </w:p>
    <w:p>
      <w:pPr>
        <w:pStyle w:val="BodyText"/>
      </w:pPr>
      <w:r>
        <w:rPr>
          <w:b/>
          <w:bCs/>
        </w:rPr>
        <w:t xml:space="preserve">A. Anomalies confirmées</w:t>
      </w:r>
      <w:r>
        <w:t xml:space="preserve"> </w:t>
      </w:r>
      <w:r>
        <w:t xml:space="preserve">— 14 points. Nous les avons reproduits, ils seront</w:t>
      </w:r>
      <w:r>
        <w:t xml:space="preserve"> </w:t>
      </w:r>
      <w:r>
        <w:t xml:space="preserve">corrigés.</w:t>
      </w:r>
    </w:p>
    <w:p>
      <w:pPr>
        <w:pStyle w:val="BodyText"/>
      </w:pPr>
      <w:r>
        <w:rPr>
          <w:b/>
          <w:bCs/>
        </w:rPr>
        <w:t xml:space="preserve">B. Réglages de notre côté</w:t>
      </w:r>
      <w:r>
        <w:t xml:space="preserve"> </w:t>
      </w:r>
      <w:r>
        <w:t xml:space="preserve">— 3 points. Des réglages d’installation, pas des</w:t>
      </w:r>
      <w:r>
        <w:t xml:space="preserve"> </w:t>
      </w:r>
      <w:r>
        <w:t xml:space="preserve">défauts du logiciel.</w:t>
      </w:r>
    </w:p>
    <w:p>
      <w:pPr>
        <w:pStyle w:val="BodyText"/>
      </w:pPr>
      <w:r>
        <w:rPr>
          <w:b/>
          <w:bCs/>
        </w:rPr>
        <w:t xml:space="preserve">C. Les évolutions que vous demandez</w:t>
      </w:r>
      <w:r>
        <w:t xml:space="preserve"> </w:t>
      </w:r>
      <w:r>
        <w:t xml:space="preserve">— 14 points. Des ajouts, à prioriser</w:t>
      </w:r>
      <w:r>
        <w:t xml:space="preserve"> </w:t>
      </w:r>
      <w:r>
        <w:t xml:space="preserve">ensemble.</w:t>
      </w:r>
    </w:p>
    <w:p>
      <w:pPr>
        <w:pStyle w:val="BodyText"/>
      </w:pPr>
      <w:r>
        <w:rPr>
          <w:b/>
          <w:bCs/>
        </w:rPr>
        <w:t xml:space="preserve">D. Vos demandes ponctuelles</w:t>
      </w:r>
      <w:r>
        <w:t xml:space="preserve"> </w:t>
      </w:r>
      <w:r>
        <w:t xml:space="preserve">— 23 points. Tous notés, tous réalisables.</w:t>
      </w:r>
    </w:p>
    <w:p>
      <w:pPr>
        <w:pStyle w:val="BodyText"/>
      </w:pPr>
      <w:r>
        <w:rPr>
          <w:b/>
          <w:bCs/>
        </w:rPr>
        <w:t xml:space="preserve">E. Nous avons besoin de votre décision</w:t>
      </w:r>
      <w:r>
        <w:t xml:space="preserve"> </w:t>
      </w:r>
      <w:r>
        <w:t xml:space="preserve">— 7 questions auxquelles nous ne</w:t>
      </w:r>
      <w:r>
        <w:t xml:space="preserve"> </w:t>
      </w:r>
      <w:r>
        <w:t xml:space="preserve">pouvons pas répondre seuls.</w:t>
      </w:r>
    </w:p>
    <w:p>
      <w:pPr>
        <w:pStyle w:val="BodyText"/>
      </w:pPr>
      <w:r>
        <w:rPr>
          <w:b/>
          <w:bCs/>
        </w:rPr>
        <w:t xml:space="preserve">F. Ce qui fonctionnait bien</w:t>
      </w:r>
      <w:r>
        <w:t xml:space="preserve"> </w:t>
      </w:r>
      <w:r>
        <w:t xml:space="preserve">— là où le script de recette avait tort, pas</w:t>
      </w:r>
      <w:r>
        <w:t xml:space="preserve"> </w:t>
      </w:r>
      <w:r>
        <w:t xml:space="preserve">vous.</w:t>
      </w:r>
    </w:p>
    <w:p>
      <w:pPr>
        <w:pStyle w:val="BodyText"/>
      </w:pPr>
      <w:r>
        <w:rPr>
          <w:b/>
          <w:bCs/>
        </w:rPr>
        <w:t xml:space="preserve">G. Ce qu’il reste à faire</w:t>
      </w:r>
      <w:r>
        <w:t xml:space="preserve"> </w:t>
      </w:r>
      <w:r>
        <w:t xml:space="preserve">— de chaque côté.</w:t>
      </w:r>
    </w:p>
    <w:bookmarkEnd w:id="9"/>
    <w:bookmarkStart w:id="10" w:name="avant-de-commencer"/>
    <w:p>
      <w:pPr>
        <w:pStyle w:val="Heading1"/>
      </w:pPr>
      <w:r>
        <w:t xml:space="preserve">Avant de commencer</w:t>
      </w:r>
    </w:p>
    <w:p>
      <w:pPr>
        <w:pStyle w:val="FirstParagraph"/>
      </w:pPr>
      <w:r>
        <w:t xml:space="preserve">Merci pour cette relecture. Elle est précise, elle est longue, et elle nous a</w:t>
      </w:r>
      <w:r>
        <w:t xml:space="preserve"> </w:t>
      </w:r>
      <w:r>
        <w:t xml:space="preserve">permis de trouver des choses que nous n’aurions pas vues seuls.</w:t>
      </w:r>
    </w:p>
    <w:p>
      <w:pPr>
        <w:pStyle w:val="BodyText"/>
      </w:pPr>
      <w:r>
        <w:t xml:space="preserve">Nous avons repris chacune de vos remarques, une par une, et nous sommes allés</w:t>
      </w:r>
      <w:r>
        <w:t xml:space="preserve"> </w:t>
      </w:r>
      <w:r>
        <w:t xml:space="preserve">vérifier dans le logiciel et dans vos dossiers de test ce qui se passait</w:t>
      </w:r>
      <w:r>
        <w:t xml:space="preserve"> </w:t>
      </w:r>
      <w:r>
        <w:t xml:space="preserve">réellement. Ce document vous rend ce travail.</w:t>
      </w:r>
    </w:p>
    <w:p>
      <w:pPr>
        <w:pStyle w:val="BodyText"/>
      </w:pPr>
      <w:r>
        <w:rPr>
          <w:b/>
          <w:bCs/>
        </w:rPr>
        <w:t xml:space="preserve">Ce que nous vous demandons :</w:t>
      </w:r>
      <w:r>
        <w:t xml:space="preserve"> </w:t>
      </w:r>
      <w:r>
        <w:t xml:space="preserve">confirmer que nous avons bien compris. Sous</w:t>
      </w:r>
      <w:r>
        <w:t xml:space="preserve"> </w:t>
      </w:r>
      <w:r>
        <w:t xml:space="preserve">chaque point, deux cases. Cochez, corrigez, annotez directement dans ce</w:t>
      </w:r>
      <w:r>
        <w:t xml:space="preserve"> </w:t>
      </w:r>
      <w:r>
        <w:t xml:space="preserve">document et renvoyez-le nous.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☐ C’est bien ça</w:t>
      </w:r>
      <w:r>
        <w:t xml:space="preserve"> </w:t>
      </w:r>
      <w:r>
        <w:t xml:space="preserve">— nous avons compris, nous corrigeons.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☐ À préciser</w:t>
      </w:r>
      <w:r>
        <w:t xml:space="preserve"> </w:t>
      </w:r>
      <w:r>
        <w:t xml:space="preserve">— nous sommes à côté, ou il manque quelque chose.</w:t>
      </w:r>
    </w:p>
    <w:p>
      <w:pPr>
        <w:pStyle w:val="FirstParagraph"/>
      </w:pPr>
      <w:r>
        <w:t xml:space="preserve">Pour les évolutions (partie C), une case supplémentaire vous permet d’indiquer</w:t>
      </w:r>
      <w:r>
        <w:t xml:space="preserve"> </w:t>
      </w:r>
      <w:r>
        <w:t xml:space="preserve">ce qui doit impérativement être prêt pour l’ouverture.</w:t>
      </w:r>
    </w:p>
    <w:p>
      <w:pPr>
        <w:pStyle w:val="BodyText"/>
      </w:pPr>
      <w:r>
        <w:rPr>
          <w:b/>
          <w:bCs/>
        </w:rPr>
        <w:t xml:space="preserve">Un mot avant tout le reste.</w:t>
      </w:r>
      <w:r>
        <w:t xml:space="preserve"> </w:t>
      </w:r>
      <w:r>
        <w:t xml:space="preserve">Plusieurs de vos difficultés ne venaient pas de</w:t>
      </w:r>
      <w:r>
        <w:t xml:space="preserve"> </w:t>
      </w:r>
      <w:r>
        <w:t xml:space="preserve">vous. Les e-mails destinés aux clients ne partaient pas pendant vos tests, le</w:t>
      </w:r>
      <w:r>
        <w:t xml:space="preserve"> </w:t>
      </w:r>
      <w:r>
        <w:t xml:space="preserve">bouton de téléchargement des documents était cassé, et le lien de</w:t>
      </w:r>
      <w:r>
        <w:t xml:space="preserve"> </w:t>
      </w:r>
      <w:r>
        <w:t xml:space="preserve">réinitialisation du mot de passe pointait vers une adresse inaccessible. Vous</w:t>
      </w:r>
      <w:r>
        <w:t xml:space="preserve"> </w:t>
      </w:r>
      <w:r>
        <w:t xml:space="preserve">avez cherché des choses qui n’existaient pas à l’écran. C’est corrigé ou en</w:t>
      </w:r>
      <w:r>
        <w:t xml:space="preserve"> </w:t>
      </w:r>
      <w:r>
        <w:t xml:space="preserve">cours.</w:t>
      </w:r>
    </w:p>
    <w:bookmarkEnd w:id="10"/>
    <w:bookmarkStart w:id="25" w:name="a.-anomalies-confirmées"/>
    <w:p>
      <w:pPr>
        <w:pStyle w:val="Heading1"/>
      </w:pPr>
      <w:r>
        <w:t xml:space="preserve">A. Anomalies confirmées</w:t>
      </w:r>
    </w:p>
    <w:p>
      <w:pPr>
        <w:pStyle w:val="FirstParagraph"/>
      </w:pPr>
      <w:r>
        <w:t xml:space="preserve">Nous avons reproduit chacune de ces anomalies. Elles seront corrigées avant la</w:t>
      </w:r>
      <w:r>
        <w:t xml:space="preserve"> </w:t>
      </w:r>
      <w:r>
        <w:t xml:space="preserve">prochaine session.</w:t>
      </w:r>
    </w:p>
    <w:bookmarkStart w:id="11" w:name="X39c0748e7a8c22f0dc092bf738d36c9fb6f7901"/>
    <w:p>
      <w:pPr>
        <w:pStyle w:val="Heading2"/>
      </w:pPr>
      <w:r>
        <w:t xml:space="preserve">A1. Le chiffre d’affaires du mois reste à zéro</w:t>
      </w:r>
    </w:p>
    <w:p>
      <w:pPr>
        <w:pStyle w:val="BlockText"/>
      </w:pPr>
      <w:r>
        <w:t xml:space="preserve">« le ca du mois est à zéro alors que j’ai fait des ventes […] j’ai une marge</w:t>
      </w:r>
      <w:r>
        <w:t xml:space="preserve"> </w:t>
      </w:r>
      <w:r>
        <w:t xml:space="preserve">brute de 25 000 au détail de laquelle je ne peux pas accéder, pas plus que la</w:t>
      </w:r>
      <w:r>
        <w:t xml:space="preserve"> </w:t>
      </w:r>
      <w:r>
        <w:t xml:space="preserve">valeur du stock et le</w:t>
      </w:r>
      <w:r>
        <w:t xml:space="preserve"> </w:t>
      </w:r>
      <w:r>
        <w:t xml:space="preserve">“en attente”</w:t>
      </w:r>
      <w:r>
        <w:t xml:space="preserve"> </w:t>
      </w:r>
      <w:r>
        <w:t xml:space="preserve">est à zéro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Vous aviez raison. Vos factures de vente sont bien</w:t>
      </w:r>
      <w:r>
        <w:t xml:space="preserve"> </w:t>
      </w:r>
      <w:r>
        <w:t xml:space="preserve">éditées en PDF, mais elles ne sont jamais inscrites dans le registre interne que</w:t>
      </w:r>
      <w:r>
        <w:t xml:space="preserve"> </w:t>
      </w:r>
      <w:r>
        <w:t xml:space="preserve">le tableau de bord consulte pour calculer ses chiffres. Résultat : le chiffre</w:t>
      </w:r>
      <w:r>
        <w:t xml:space="preserve"> </w:t>
      </w:r>
      <w:r>
        <w:t xml:space="preserve">d’affaires du mois, le montant « en attente » et la TVA collectée sur les ventes</w:t>
      </w:r>
      <w:r>
        <w:t xml:space="preserve"> </w:t>
      </w:r>
      <w:r>
        <w:t xml:space="preserve">affichent zéro en permanence, quelle que soit votre activité. Seule la marge brute</w:t>
      </w:r>
      <w:r>
        <w:t xml:space="preserve"> </w:t>
      </w:r>
      <w:r>
        <w:t xml:space="preserve">affiche un montant, parce qu’elle est calculée sur les rachats.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Inscrire chaque facture au moment de son édition,</w:t>
      </w:r>
      <w:r>
        <w:t xml:space="preserve"> </w:t>
      </w:r>
      <w:r>
        <w:t xml:space="preserve">reconstituer l’historique de vos ventes existantes, et rendre chaque indicateur</w:t>
      </w:r>
      <w:r>
        <w:t xml:space="preserve"> </w:t>
      </w:r>
      <w:r>
        <w:t xml:space="preserve">cliquable pour accéder à son détail. Nous ajoutons également la séparation que</w:t>
      </w:r>
      <w:r>
        <w:t xml:space="preserve"> </w:t>
      </w:r>
      <w:r>
        <w:t xml:space="preserve">vous demandez entre le chiffre d’affaires des ventes et celui des rachats.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11"/>
    <w:bookmarkStart w:id="12" w:name="X6e138ed20b0565d63354293d0385ac57afdb228"/>
    <w:p>
      <w:pPr>
        <w:pStyle w:val="Heading2"/>
      </w:pPr>
      <w:r>
        <w:t xml:space="preserve">A2. Un rachat rétracté ou un devis refusé réclame quand même un paiement</w:t>
      </w:r>
    </w:p>
    <w:p>
      <w:pPr>
        <w:pStyle w:val="BlockText"/>
      </w:pPr>
      <w:r>
        <w:t xml:space="preserve">« j’ai fait une rétractation sur véronique lecauchois et je dois la payer dans</w:t>
      </w:r>
      <w:r>
        <w:t xml:space="preserve"> </w:t>
      </w:r>
      <w:r>
        <w:t xml:space="preserve">le récap financier »</w:t>
      </w:r>
    </w:p>
    <w:p>
      <w:pPr>
        <w:pStyle w:val="BlockText"/>
      </w:pPr>
      <w:r>
        <w:t xml:space="preserve">« si c’est un devis, on n’a pas à payer puisque le client ne nous confie pas</w:t>
      </w:r>
      <w:r>
        <w:t xml:space="preserve"> </w:t>
      </w:r>
      <w:r>
        <w:t xml:space="preserve">les bijoux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Confirmé, sur vos deux dossiers. Un rachat rétracté</w:t>
      </w:r>
      <w:r>
        <w:t xml:space="preserve"> </w:t>
      </w:r>
      <w:r>
        <w:t xml:space="preserve">et un devis refusé sont l’un et l’autre classés « terminé » ; l’alerte de</w:t>
      </w:r>
      <w:r>
        <w:t xml:space="preserve"> </w:t>
      </w:r>
      <w:r>
        <w:t xml:space="preserve">paiement ne regarde pas l’issue du dossier et les compte comme des sommes à</w:t>
      </w:r>
      <w:r>
        <w:t xml:space="preserve"> </w:t>
      </w:r>
      <w:r>
        <w:t xml:space="preserve">verser au client.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L’alerte ne retiendra que les dossiers réellement dus.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12"/>
    <w:bookmarkStart w:id="13" w:name="Xa3e238b91d42fcccc29f65d844a3ad5d95fea97"/>
    <w:p>
      <w:pPr>
        <w:pStyle w:val="Heading2"/>
      </w:pPr>
      <w:r>
        <w:t xml:space="preserve">A3. On peut enregistrer un règlement sur un rachat rétracté</w:t>
      </w:r>
    </w:p>
    <w:p>
      <w:pPr>
        <w:pStyle w:val="BlockText"/>
      </w:pPr>
      <w:r>
        <w:t xml:space="preserve">« si tu vas sur son dossier, on voit que c’est REGLE, je viens de le faire et</w:t>
      </w:r>
      <w:r>
        <w:t xml:space="preserve"> </w:t>
      </w:r>
      <w:r>
        <w:t xml:space="preserve">ça a marché en dépit de la rétractation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Confirmé. Le dossier LECAUCHOIS porte aujourd’hui à</w:t>
      </w:r>
      <w:r>
        <w:t xml:space="preserve"> </w:t>
      </w:r>
      <w:r>
        <w:t xml:space="preserve">la fois la mention « rétracté » et un règlement par virement. Rien n’empêche la</w:t>
      </w:r>
      <w:r>
        <w:t xml:space="preserve"> </w:t>
      </w:r>
      <w:r>
        <w:t xml:space="preserve">saisie.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Bloquer le règlement d’un dossier rétracté, et proposer à</w:t>
      </w:r>
      <w:r>
        <w:t xml:space="preserve"> </w:t>
      </w:r>
      <w:r>
        <w:t xml:space="preserve">la place le remboursement — qui, lui, existe déjà.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13"/>
    <w:bookmarkStart w:id="14" w:name="Xfa79f8e426e90eeee423adfff5b2af2a737a719"/>
    <w:p>
      <w:pPr>
        <w:pStyle w:val="Heading2"/>
      </w:pPr>
      <w:r>
        <w:t xml:space="preserve">A4. Le bouton « Télécharger » affiche une erreur</w:t>
      </w:r>
    </w:p>
    <w:p>
      <w:pPr>
        <w:pStyle w:val="BlockText"/>
      </w:pPr>
      <w:r>
        <w:t xml:space="preserve">« SUR LE DV 0003 […] CA MARQUE ERREUR »</w:t>
      </w:r>
    </w:p>
    <w:p>
      <w:pPr>
        <w:pStyle w:val="BlockText"/>
      </w:pPr>
      <w:r>
        <w:t xml:space="preserve">« c’est bon mais j’ai un peu galéré pour imprimer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Confirmé, et c’est probablement à l’origine d’une</w:t>
      </w:r>
      <w:r>
        <w:t xml:space="preserve"> </w:t>
      </w:r>
      <w:r>
        <w:t xml:space="preserve">bonne partie de vos difficultés d’impression. Le bouton « Voir le document »</w:t>
      </w:r>
      <w:r>
        <w:t xml:space="preserve"> </w:t>
      </w:r>
      <w:r>
        <w:t xml:space="preserve">fonctionne ; le bouton « Télécharger », lui, pointe vers une adresse devenue</w:t>
      </w:r>
      <w:r>
        <w:t xml:space="preserve"> </w:t>
      </w:r>
      <w:r>
        <w:t xml:space="preserve">inaccessible lors d’un renforcement de la sécurité des documents.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Rétablir le téléchargement, et ajouter un bouton</w:t>
      </w:r>
      <w:r>
        <w:t xml:space="preserve"> </w:t>
      </w:r>
      <w:r>
        <w:t xml:space="preserve">d’impression directe depuis l’aperçu.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14"/>
    <w:bookmarkStart w:id="15" w:name="X5a166931f3ce29f725d9960159ecf69e6a1e876"/>
    <w:p>
      <w:pPr>
        <w:pStyle w:val="Heading2"/>
      </w:pPr>
      <w:r>
        <w:t xml:space="preserve">A5. Le contrat du dépôt-vente 0003 porte le numéro 0002</w:t>
      </w:r>
    </w:p>
    <w:p>
      <w:pPr>
        <w:pStyle w:val="BlockText"/>
      </w:pPr>
      <w:r>
        <w:t xml:space="preserve">« SUR LE DV 0003, IL N’Y A PAS DE PDF, C’EST LE 0002 QUI SE PRESENTE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Confirmé. Les deux contrats ont été édités à la même</w:t>
      </w:r>
      <w:r>
        <w:t xml:space="preserve"> </w:t>
      </w:r>
      <w:r>
        <w:t xml:space="preserve">minute et leurs numéros se sont croisés : le contrat du dépôt-vente 0003</w:t>
      </w:r>
      <w:r>
        <w:t xml:space="preserve"> </w:t>
      </w:r>
      <w:r>
        <w:t xml:space="preserve">s’appelle CDV-2026-0002, et celui du 0002 s’appelle CDV-2026-0003. Les deux</w:t>
      </w:r>
      <w:r>
        <w:t xml:space="preserve"> </w:t>
      </w:r>
      <w:r>
        <w:t xml:space="preserve">documents existent bien — c’est la numérotation qui induit en erreur. Ce point</w:t>
      </w:r>
      <w:r>
        <w:t xml:space="preserve"> </w:t>
      </w:r>
      <w:r>
        <w:t xml:space="preserve">est la conséquence directe du suivant.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15"/>
    <w:bookmarkStart w:id="16" w:name="Xbbbc72d47a5cb95455f56dbcfa5c105f49c28fe"/>
    <w:p>
      <w:pPr>
        <w:pStyle w:val="Heading2"/>
      </w:pPr>
      <w:r>
        <w:t xml:space="preserve">A6. Une même transaction porte cinq ou six numéros différents</w:t>
      </w:r>
    </w:p>
    <w:p>
      <w:pPr>
        <w:pStyle w:val="BlockText"/>
      </w:pPr>
      <w:r>
        <w:t xml:space="preserve">« les références diverses pour une seule transaction : DOS 31 donne VEN 11,</w:t>
      </w:r>
      <w:r>
        <w:t xml:space="preserve"> </w:t>
      </w:r>
      <w:r>
        <w:t xml:space="preserve">CMDF 3, FSO 4, FAC 4. C’est pas possible on va s’y perdre »</w:t>
      </w:r>
    </w:p>
    <w:p>
      <w:pPr>
        <w:pStyle w:val="BlockText"/>
      </w:pPr>
      <w:r>
        <w:t xml:space="preserve">« et encore un RAC sur l’écran pour une autre transaction, se transforme en CRA</w:t>
      </w:r>
      <w:r>
        <w:t xml:space="preserve"> </w:t>
      </w:r>
      <w:r>
        <w:t xml:space="preserve">sur le papier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Confirmé. Chaque type de document possède aujourd’hui</w:t>
      </w:r>
      <w:r>
        <w:t xml:space="preserve"> </w:t>
      </w:r>
      <w:r>
        <w:t xml:space="preserve">son propre compteur, qui avance indépendamment du dossier auquel il se rattache.</w:t>
      </w:r>
      <w:r>
        <w:t xml:space="preserve"> </w:t>
      </w:r>
      <w:r>
        <w:t xml:space="preserve">Douze compteurs coexistent. C’est ce qui produit le croisement du point</w:t>
      </w:r>
      <w:r>
        <w:t xml:space="preserve"> </w:t>
      </w:r>
      <w:r>
        <w:t xml:space="preserve">précédent.</w:t>
      </w:r>
    </w:p>
    <w:p>
      <w:pPr>
        <w:pStyle w:val="BodyText"/>
      </w:pPr>
      <w:r>
        <w:rPr>
          <w:b/>
          <w:bCs/>
        </w:rPr>
        <w:t xml:space="preserve">Ce que nous proposons.</w:t>
      </w:r>
      <w:r>
        <w:t xml:space="preserve"> </w:t>
      </w:r>
      <w:r>
        <w:t xml:space="preserve">Rattacher tous les documents d’une transaction au</w:t>
      </w:r>
      <w:r>
        <w:t xml:space="preserve"> </w:t>
      </w:r>
      <w:r>
        <w:t xml:space="preserve">numéro du dossier — le contrat, la quittance et la facture du dossier DOS-2026-0031</w:t>
      </w:r>
      <w:r>
        <w:t xml:space="preserve"> </w:t>
      </w:r>
      <w:r>
        <w:t xml:space="preserve">porteraient tous ce numéro, suivi de leur nature. Et faire correspondre ce que</w:t>
      </w:r>
      <w:r>
        <w:t xml:space="preserve"> </w:t>
      </w:r>
      <w:r>
        <w:t xml:space="preserve">vous voyez à l’écran avec ce qui est imprimé sur le papier.</w:t>
      </w:r>
    </w:p>
    <w:p>
      <w:pPr>
        <w:pStyle w:val="BodyText"/>
      </w:pPr>
      <w:r>
        <w:t xml:space="preserve">Ce changement touche tous vos documents :</w:t>
      </w:r>
      <w:r>
        <w:t xml:space="preserve"> </w:t>
      </w:r>
      <w:r>
        <w:rPr>
          <w:b/>
          <w:bCs/>
        </w:rPr>
        <w:t xml:space="preserve">dites-nous si la logique vous</w:t>
      </w:r>
      <w:r>
        <w:rPr>
          <w:b/>
          <w:bCs/>
        </w:rPr>
        <w:t xml:space="preserve"> </w:t>
      </w:r>
      <w:r>
        <w:rPr>
          <w:b/>
          <w:bCs/>
        </w:rPr>
        <w:t xml:space="preserve">convient avant que nous l’appliquions.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16"/>
    <w:bookmarkStart w:id="17" w:name="X39c52b6a825dbd00ee463c72ae84c4643beeb57"/>
    <w:p>
      <w:pPr>
        <w:pStyle w:val="Heading2"/>
      </w:pPr>
      <w:r>
        <w:t xml:space="preserve">A7. Le reçu de remboursement s’imprime mal</w:t>
      </w:r>
    </w:p>
    <w:p>
      <w:pPr>
        <w:pStyle w:val="BlockText"/>
      </w:pPr>
      <w:r>
        <w:t xml:space="preserve">« remboursement partiel s’imprime mal, les caractères se chevauchent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Confirmé. Le libellé « REMBOURSÉ PAR LE CLIENT » est</w:t>
      </w:r>
      <w:r>
        <w:t xml:space="preserve"> </w:t>
      </w:r>
      <w:r>
        <w:t xml:space="preserve">trop long pour la colonne qui l’accueille et déborde sur le montant.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17"/>
    <w:bookmarkStart w:id="18" w:name="X9e38f1291f69ba5c415fce98b4fae36561b4c57"/>
    <w:p>
      <w:pPr>
        <w:pStyle w:val="Heading2"/>
      </w:pPr>
      <w:r>
        <w:t xml:space="preserve">A8. Le montant du bracelet argent de Sophie Martin est faux</w:t>
      </w:r>
    </w:p>
    <w:p>
      <w:pPr>
        <w:pStyle w:val="BlockText"/>
      </w:pPr>
      <w:r>
        <w:t xml:space="preserve">« sophie martin rac004 le montant des pièces argent est impossible, il doit y</w:t>
      </w:r>
      <w:r>
        <w:t xml:space="preserve"> </w:t>
      </w:r>
      <w:r>
        <w:t xml:space="preserve">avoir une erreur de virgule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Vous aviez raison, et nous avons la cause exacte. Au</w:t>
      </w:r>
      <w:r>
        <w:t xml:space="preserve"> </w:t>
      </w:r>
      <w:r>
        <w:t xml:space="preserve">moment de ce rachat, le cours de l’argent enregistré dans le logiciel était de</w:t>
      </w:r>
      <w:r>
        <w:t xml:space="preserve"> </w:t>
      </w:r>
      <w:r>
        <w:rPr>
          <w:b/>
          <w:bCs/>
        </w:rPr>
        <w:t xml:space="preserve">45 € le gramme, au lieu d’environ 1,80 €</w:t>
      </w:r>
      <w:r>
        <w:t xml:space="preserve">. Le calcul est juste ; c’est la</w:t>
      </w:r>
      <w:r>
        <w:t xml:space="preserve"> </w:t>
      </w:r>
      <w:r>
        <w:t xml:space="preserve">donnée d’entrée qui ne l’était pas. Les deux lignes en argent de ce dossier sont</w:t>
      </w:r>
      <w:r>
        <w:t xml:space="preserve"> </w:t>
      </w:r>
      <w:r>
        <w:t xml:space="preserve">touchées.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Corriger le dossier, et surtout ajouter un contrôle de</w:t>
      </w:r>
      <w:r>
        <w:t xml:space="preserve"> </w:t>
      </w:r>
      <w:r>
        <w:t xml:space="preserve">vraisemblance : aujourd’hui, rien n’empêche d’enregistrer un cours aberrant.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18"/>
    <w:bookmarkStart w:id="19" w:name="X042678b612327d5c6f4c4e8d75cfd582828a63a"/>
    <w:p>
      <w:pPr>
        <w:pStyle w:val="Heading2"/>
      </w:pPr>
      <w:r>
        <w:t xml:space="preserve">A9. Un délai de rétractation écoulé reste affiché indéfiniment</w:t>
      </w:r>
    </w:p>
    <w:p>
      <w:pPr>
        <w:pStyle w:val="BlockText"/>
      </w:pPr>
      <w:r>
        <w:t xml:space="preserve">« sophie martin rac 0003 est toujours en cours de rétractation et bloquée sur</w:t>
      </w:r>
      <w:r>
        <w:t xml:space="preserve"> </w:t>
      </w:r>
      <w:r>
        <w:t xml:space="preserve">46h53. Est il possible de rendre les documents hors rétractation à l’issue des</w:t>
      </w:r>
      <w:r>
        <w:t xml:space="preserve"> </w:t>
      </w:r>
      <w:r>
        <w:t xml:space="preserve">48 h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Confirmé. Rien ne fait expirer le délai tout seul :</w:t>
      </w:r>
      <w:r>
        <w:t xml:space="preserve"> </w:t>
      </w:r>
      <w:r>
        <w:t xml:space="preserve">il faut ouvrir la fiche et valider chaque article un par un. Tant que ce n’est</w:t>
      </w:r>
      <w:r>
        <w:t xml:space="preserve"> </w:t>
      </w:r>
      <w:r>
        <w:t xml:space="preserve">pas fait, le dossier reste indéfiniment en attente — celui de Sophie Martin</w:t>
      </w:r>
      <w:r>
        <w:t xml:space="preserve"> </w:t>
      </w:r>
      <w:r>
        <w:t xml:space="preserve">attend depuis le 18 août.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Faire expirer le délai automatiquement, et vous prévenir</w:t>
      </w:r>
      <w:r>
        <w:t xml:space="preserve"> </w:t>
      </w:r>
      <w:r>
        <w:t xml:space="preserve">que le dossier est prêt à être finalisé plutôt que de vous demander d’y penser.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19"/>
    <w:bookmarkStart w:id="20" w:name="X6fcf5239ca55503f974060ca52773814b0bb9e4"/>
    <w:p>
      <w:pPr>
        <w:pStyle w:val="Heading2"/>
      </w:pPr>
      <w:r>
        <w:t xml:space="preserve">A10. Un rachat payé reste « en attente de paiement » et n’entre pas en stock</w:t>
      </w:r>
    </w:p>
    <w:p>
      <w:pPr>
        <w:pStyle w:val="BlockText"/>
      </w:pPr>
      <w:r>
        <w:t xml:space="preserve">« je vais sur le dossier de ahmed benali qui nous a vendu 2 bijoux qui ont été</w:t>
      </w:r>
      <w:r>
        <w:t xml:space="preserve"> </w:t>
      </w:r>
      <w:r>
        <w:t xml:space="preserve">payés mais qui ne sont pas en stock et c’est marqué en attente de paiement</w:t>
      </w:r>
      <w:r>
        <w:t xml:space="preserve"> </w:t>
      </w:r>
      <w:r>
        <w:t xml:space="preserve">alors que le règlement est sortant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Confirmé. Le règlement est bien enregistré sur le</w:t>
      </w:r>
      <w:r>
        <w:t xml:space="preserve"> </w:t>
      </w:r>
      <w:r>
        <w:t xml:space="preserve">dossier, mais il ne redescend pas sur chaque bijou. Les articles restent donc «</w:t>
      </w:r>
      <w:r>
        <w:t xml:space="preserve"> </w:t>
      </w:r>
      <w:r>
        <w:t xml:space="preserve">en attente de paiement » et l’entrée en stock ne se déclenche jamais. Même</w:t>
      </w:r>
      <w:r>
        <w:t xml:space="preserve"> </w:t>
      </w:r>
      <w:r>
        <w:t xml:space="preserve">famille de cause que le point précédent.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20"/>
    <w:bookmarkStart w:id="21" w:name="Xabf2e07e31b811a4aa19b448f47aced9cc29446"/>
    <w:p>
      <w:pPr>
        <w:pStyle w:val="Heading2"/>
      </w:pPr>
      <w:r>
        <w:t xml:space="preserve">A11. Impossible de corriger la destination d’un bijou après coup</w:t>
      </w:r>
    </w:p>
    <w:p>
      <w:pPr>
        <w:pStyle w:val="BlockText"/>
      </w:pPr>
      <w:r>
        <w:t xml:space="preserve">« J’AVAIS BIEN FAIT UN DV MAIS J’AI MARQUÉ LES BIJOUX EN DIRECT ET JE NE PEUX</w:t>
      </w:r>
      <w:r>
        <w:t xml:space="preserve"> </w:t>
      </w:r>
      <w:r>
        <w:t xml:space="preserve">PAS MODIFIER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Confirmé. L’écran permettant de changer la</w:t>
      </w:r>
      <w:r>
        <w:t xml:space="preserve"> </w:t>
      </w:r>
      <w:r>
        <w:t xml:space="preserve">destination d’un article (stock boutique, fonderie, dépôt-vente) existe dans le</w:t>
      </w:r>
      <w:r>
        <w:t xml:space="preserve"> </w:t>
      </w:r>
      <w:r>
        <w:t xml:space="preserve">logiciel mais n’est raccordé à aucune page. Il est donc inaccessible.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21"/>
    <w:bookmarkStart w:id="22" w:name="Xfb12ce141dc41f11d96f7b7abbcb08159d33385"/>
    <w:p>
      <w:pPr>
        <w:pStyle w:val="Heading2"/>
      </w:pPr>
      <w:r>
        <w:t xml:space="preserve">A12. Les liens du mode d’emploi ne sont pas bleus</w:t>
      </w:r>
    </w:p>
    <w:p>
      <w:pPr>
        <w:pStyle w:val="BlockText"/>
      </w:pPr>
      <w:r>
        <w:t xml:space="preserve">« pas vu le lien bleu. J’ai cliqué sur tout ce qui est bleu il ne s’est rien</w:t>
      </w:r>
      <w:r>
        <w:t xml:space="preserve"> </w:t>
      </w:r>
      <w:r>
        <w:t xml:space="preserve">passé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Confirmé, et vous avez cliqué exactement là où il</w:t>
      </w:r>
      <w:r>
        <w:t xml:space="preserve"> </w:t>
      </w:r>
      <w:r>
        <w:t xml:space="preserve">fallait s’attendre à cliquer. Les vrais liens sont de la même couleur que le</w:t>
      </w:r>
      <w:r>
        <w:t xml:space="preserve"> </w:t>
      </w:r>
      <w:r>
        <w:t xml:space="preserve">texte et ne se révèlent qu’au passage de la souris. Ce qui est bleu dans les</w:t>
      </w:r>
      <w:r>
        <w:t xml:space="preserve"> </w:t>
      </w:r>
      <w:r>
        <w:t xml:space="preserve">procédures, ce sont les pastilles de statut — qui, elles, ne sont pas</w:t>
      </w:r>
      <w:r>
        <w:t xml:space="preserve"> </w:t>
      </w:r>
      <w:r>
        <w:t xml:space="preserve">cliquables.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22"/>
    <w:bookmarkStart w:id="23" w:name="Xa544f720333d9453177e2ad2af8a595b8ec0b1b"/>
    <w:p>
      <w:pPr>
        <w:pStyle w:val="Heading2"/>
      </w:pPr>
      <w:r>
        <w:t xml:space="preserve">A13. Les raccourcis clavier ne correspondent pas aux noms du menu</w:t>
      </w:r>
    </w:p>
    <w:p>
      <w:pPr>
        <w:pStyle w:val="BlockText"/>
      </w:pPr>
      <w:r>
        <w:t xml:space="preserve">« les alt+… j’aurais mis la 1ère lettre de la recherche… mnémotechnique</w:t>
      </w:r>
      <w:r>
        <w:t xml:space="preserve"> </w:t>
      </w:r>
      <w:r>
        <w:t xml:space="preserve">alt+v c’est ventes, ça tombe bien mais alt+D ?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Confirmé. Alt+L ouvre « Rachat », Alt+S ouvre</w:t>
      </w:r>
      <w:r>
        <w:t xml:space="preserve"> </w:t>
      </w:r>
      <w:r>
        <w:t xml:space="preserve">« Bijoux », et Alt+D ouvre le tableau de bord alors que le menu contient à la</w:t>
      </w:r>
      <w:r>
        <w:t xml:space="preserve"> </w:t>
      </w:r>
      <w:r>
        <w:t xml:space="preserve">fois Dossiers et Dépôt-vente. Trois raccourcis sur cinq ne correspondent pas à</w:t>
      </w:r>
      <w:r>
        <w:t xml:space="preserve"> </w:t>
      </w:r>
      <w:r>
        <w:t xml:space="preserve">l’étiquette affichée.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Les recaler sur la première lettre du menu, et afficher</w:t>
      </w:r>
      <w:r>
        <w:t xml:space="preserve"> </w:t>
      </w:r>
      <w:r>
        <w:t xml:space="preserve">le raccourci à côté de chaque entrée.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23"/>
    <w:bookmarkStart w:id="24" w:name="X85ed9a4edd93ca01750da4daa71969fbb890a71"/>
    <w:p>
      <w:pPr>
        <w:pStyle w:val="Heading2"/>
      </w:pPr>
      <w:r>
        <w:t xml:space="preserve">A14. Le poids perd une décimale à l’entrée en stock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Anomalie que vous n’aviez pas signalée, mais que</w:t>
      </w:r>
      <w:r>
        <w:t xml:space="preserve"> </w:t>
      </w:r>
      <w:r>
        <w:t xml:space="preserve">votre remarque sur les poids nous a fait chercher : un bijou saisi à 12,34 g est</w:t>
      </w:r>
      <w:r>
        <w:t xml:space="preserve"> </w:t>
      </w:r>
      <w:r>
        <w:t xml:space="preserve">enregistré à 12,3 g dans le stock. Nous le corrigeons. Voir aussi la question</w:t>
      </w:r>
      <w:r>
        <w:t xml:space="preserve"> </w:t>
      </w:r>
      <w:r>
        <w:rPr>
          <w:b/>
          <w:bCs/>
        </w:rPr>
        <w:t xml:space="preserve">E3</w:t>
      </w:r>
      <w:r>
        <w:t xml:space="preserve"> </w:t>
      </w:r>
      <w:r>
        <w:t xml:space="preserve">sur la précision qui vous convient réellement.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24"/>
    <w:bookmarkEnd w:id="25"/>
    <w:bookmarkStart w:id="29" w:name="b.-réglages-de-notre-côté"/>
    <w:p>
      <w:pPr>
        <w:pStyle w:val="Heading1"/>
      </w:pPr>
      <w:r>
        <w:t xml:space="preserve">B. Réglages de notre côté</w:t>
      </w:r>
    </w:p>
    <w:p>
      <w:pPr>
        <w:pStyle w:val="FirstParagraph"/>
      </w:pPr>
      <w:r>
        <w:t xml:space="preserve">Ce ne sont pas des défauts du logiciel, mais des réglages d’installation. Ils</w:t>
      </w:r>
      <w:r>
        <w:t xml:space="preserve"> </w:t>
      </w:r>
      <w:r>
        <w:t xml:space="preserve">expliquent une bonne partie de ce que vous n’avez pas réussi à faire.</w:t>
      </w:r>
    </w:p>
    <w:bookmarkStart w:id="26" w:name="X080654ee2bd865c50bfd93d85ee5f29b80365c0"/>
    <w:p>
      <w:pPr>
        <w:pStyle w:val="Heading2"/>
      </w:pPr>
      <w:r>
        <w:t xml:space="preserve">B1. Le lien « mot de passe oublié » renvoyait vers localhost</w:t>
      </w:r>
    </w:p>
    <w:p>
      <w:pPr>
        <w:pStyle w:val="BlockText"/>
      </w:pPr>
      <w:r>
        <w:t xml:space="preserve">« j’ai bien reçu le mail, j’ai cliqué sur reset password et la réponse :</w:t>
      </w:r>
      <w:r>
        <w:t xml:space="preserve"> </w:t>
      </w:r>
      <w:r>
        <w:t xml:space="preserve">localhost ne reconnait pas cette connexion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L’adresse de retour était restée sur celle de notre</w:t>
      </w:r>
      <w:r>
        <w:t xml:space="preserve"> </w:t>
      </w:r>
      <w:r>
        <w:t xml:space="preserve">poste de développement. Réglage de notre côté, corrigé.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26"/>
    <w:bookmarkStart w:id="27" w:name="X6d06921f34dcd6d8f578af581c5d508a107ea8f"/>
    <w:p>
      <w:pPr>
        <w:pStyle w:val="Heading2"/>
      </w:pPr>
      <w:r>
        <w:t xml:space="preserve">B2. Aucun e-mail ne partait vers les clients pendant vos tests</w:t>
      </w:r>
    </w:p>
    <w:p>
      <w:pPr>
        <w:pStyle w:val="BlockText"/>
      </w:pPr>
      <w:r>
        <w:t xml:space="preserve">« Vérifiez la boîte mail du client » —</w:t>
      </w:r>
      <w:r>
        <w:t xml:space="preserve"> </w:t>
      </w:r>
      <w:r>
        <w:rPr>
          <w:b/>
          <w:bCs/>
        </w:rPr>
        <w:t xml:space="preserve">« PAS COMPRIS »</w:t>
      </w:r>
    </w:p>
    <w:p>
      <w:pPr>
        <w:pStyle w:val="BlockText"/>
      </w:pPr>
      <w:r>
        <w:t xml:space="preserve">« je sais toujours pas où c’est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Ce n’est pas vous. Pendant la recette,</w:t>
      </w:r>
      <w:r>
        <w:t xml:space="preserve"> </w:t>
      </w:r>
      <w:r>
        <w:rPr>
          <w:b/>
          <w:bCs/>
        </w:rPr>
        <w:t xml:space="preserve">tous</w:t>
      </w:r>
      <w:r>
        <w:t xml:space="preserve"> </w:t>
      </w:r>
      <w:r>
        <w:t xml:space="preserve">les</w:t>
      </w:r>
      <w:r>
        <w:t xml:space="preserve"> </w:t>
      </w:r>
      <w:r>
        <w:t xml:space="preserve">e-mails, y compris ceux destinés aux clients, étaient redirigés vers une adresse</w:t>
      </w:r>
      <w:r>
        <w:t xml:space="preserve"> </w:t>
      </w:r>
      <w:r>
        <w:t xml:space="preserve">technique de notre côté. Vous ne pouviez donc rien voir arriver, nulle part.</w:t>
      </w:r>
      <w:r>
        <w:t xml:space="preserve"> </w:t>
      </w:r>
      <w:r>
        <w:t xml:space="preserve">Vous avez cherché quelque chose qui n’existait pas.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Ouvrir les envois réels avant la prochaine session, avec</w:t>
      </w:r>
      <w:r>
        <w:t xml:space="preserve"> </w:t>
      </w:r>
      <w:r>
        <w:t xml:space="preserve">une adresse de votre choix en copie systématique pour que vous puissiez</w:t>
      </w:r>
      <w:r>
        <w:t xml:space="preserve"> </w:t>
      </w:r>
      <w:r>
        <w:t xml:space="preserve">contrôler ce qui part.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27"/>
    <w:bookmarkStart w:id="28" w:name="X0751fb33493f280865df06f64c46cf271f26c51"/>
    <w:p>
      <w:pPr>
        <w:pStyle w:val="Heading2"/>
      </w:pPr>
      <w:r>
        <w:t xml:space="preserve">B3. Le cours du jour n’a plus été relevé depuis le 16 août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Le relevé se déclenche à la première ouverture de</w:t>
      </w:r>
      <w:r>
        <w:t xml:space="preserve"> </w:t>
      </w:r>
      <w:r>
        <w:t xml:space="preserve">l’application dans la journée. Si personne ne l’ouvre, ou si le fournisseur de</w:t>
      </w:r>
      <w:r>
        <w:t xml:space="preserve"> </w:t>
      </w:r>
      <w:r>
        <w:t xml:space="preserve">cours ne répond pas, la journée passe sans relevé et l’on continue sur celui de</w:t>
      </w:r>
      <w:r>
        <w:t xml:space="preserve"> </w:t>
      </w:r>
      <w:r>
        <w:t xml:space="preserve">la veille sans que rien ne le signale.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Un relevé programmé, indépendant de l’ouverture de</w:t>
      </w:r>
      <w:r>
        <w:t xml:space="preserve"> </w:t>
      </w:r>
      <w:r>
        <w:t xml:space="preserve">l’application, et un avertissement visible quand le cours affiché n’est pas</w:t>
      </w:r>
      <w:r>
        <w:t xml:space="preserve"> </w:t>
      </w:r>
      <w:r>
        <w:t xml:space="preserve">celui du jour. Voir aussi</w:t>
      </w:r>
      <w:r>
        <w:t xml:space="preserve"> </w:t>
      </w:r>
      <w:r>
        <w:rPr>
          <w:b/>
          <w:bCs/>
        </w:rPr>
        <w:t xml:space="preserve">C11</w:t>
      </w:r>
      <w:r>
        <w:t xml:space="preserve"> </w:t>
      </w:r>
      <w:r>
        <w:t xml:space="preserve">sur vos deux relevés quotidiens.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28"/>
    <w:bookmarkEnd w:id="29"/>
    <w:bookmarkStart w:id="44" w:name="c.-les-évolutions-que-vous-demandez"/>
    <w:p>
      <w:pPr>
        <w:pStyle w:val="Heading1"/>
      </w:pPr>
      <w:r>
        <w:t xml:space="preserve">C. Les évolutions que vous demandez</w:t>
      </w:r>
    </w:p>
    <w:p>
      <w:pPr>
        <w:pStyle w:val="FirstParagraph"/>
      </w:pPr>
      <w:r>
        <w:t xml:space="preserve">Ce ne sont pas des corrections mais des ajouts. Nous les avons tous notés.</w:t>
      </w:r>
      <w:r>
        <w:t xml:space="preserve"> </w:t>
      </w:r>
      <w:r>
        <w:t xml:space="preserve">Cochez « Prioritaire » sur ce qui doit être en place pour l’ouverture : nous</w:t>
      </w:r>
      <w:r>
        <w:t xml:space="preserve"> </w:t>
      </w:r>
      <w:r>
        <w:t xml:space="preserve">bâtirons le calendrier là-dessus.</w:t>
      </w:r>
    </w:p>
    <w:bookmarkStart w:id="30" w:name="c1.-une-référence-sur-chaque-bijou"/>
    <w:p>
      <w:pPr>
        <w:pStyle w:val="Heading2"/>
      </w:pPr>
      <w:r>
        <w:t xml:space="preserve">C1. Une référence sur chaque bijou</w:t>
      </w:r>
    </w:p>
    <w:p>
      <w:pPr>
        <w:pStyle w:val="BlockText"/>
      </w:pPr>
      <w:r>
        <w:t xml:space="preserve">« IL EST IMPERATIF, SI JE NE L’AI PAS DÉJÀ DIT, QUE CHAQUE OBJET AIT UNE</w:t>
      </w:r>
      <w:r>
        <w:t xml:space="preserve"> </w:t>
      </w:r>
      <w:r>
        <w:t xml:space="preserve">REFERENCE »</w:t>
      </w:r>
    </w:p>
    <w:p>
      <w:pPr>
        <w:pStyle w:val="BlockText"/>
      </w:pPr>
      <w:r>
        <w:t xml:space="preserve">« Il n’y a rien de plus qu’un bracelet qui ressemble à un bracelet. C’est comme</w:t>
      </w:r>
      <w:r>
        <w:t xml:space="preserve"> </w:t>
      </w:r>
      <w:r>
        <w:t xml:space="preserve">ça que je fonctionnais au départ, mais c’était bon tant que je me souvenais à</w:t>
      </w:r>
      <w:r>
        <w:t xml:space="preserve"> </w:t>
      </w:r>
      <w:r>
        <w:t xml:space="preserve">qui appartenait tel ou tel bijou, mais j’ai fini par me perdre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Aujourd’hui, aucun article ne porte de référence</w:t>
      </w:r>
      <w:r>
        <w:t xml:space="preserve"> </w:t>
      </w:r>
      <w:r>
        <w:t xml:space="preserve">lisible. C’est le prérequis de presque tout le reste de votre liste : la récolte,</w:t>
      </w:r>
      <w:r>
        <w:t xml:space="preserve"> </w:t>
      </w:r>
      <w:r>
        <w:t xml:space="preserve">les étiquettes, les bordereaux de fonte, le rattachement à la déposante, la</w:t>
      </w:r>
      <w:r>
        <w:t xml:space="preserve"> </w:t>
      </w:r>
      <w:r>
        <w:t xml:space="preserve">distinction entre bijou neuf, dépôt-vente et direct, les états de stock.</w:t>
      </w:r>
    </w:p>
    <w:p>
      <w:pPr>
        <w:pStyle w:val="BodyText"/>
      </w:pPr>
      <w:r>
        <w:rPr>
          <w:b/>
          <w:bCs/>
        </w:rPr>
        <w:t xml:space="preserve">Ce dont nous avons besoin.</w:t>
      </w:r>
      <w:r>
        <w:t xml:space="preserve"> </w:t>
      </w:r>
      <w:r>
        <w:t xml:space="preserve">Votre nomenclature, comme vous l’avez proposé. Dès</w:t>
      </w:r>
      <w:r>
        <w:t xml:space="preserve"> </w:t>
      </w:r>
      <w:r>
        <w:t xml:space="preserve">que nous l’avons, nous démarrons — et c’est aussi ce qui conditionne la</w:t>
      </w:r>
      <w:r>
        <w:t xml:space="preserve"> </w:t>
      </w:r>
      <w:r>
        <w:t xml:space="preserve">migration (voir</w:t>
      </w:r>
      <w:r>
        <w:t xml:space="preserve"> </w:t>
      </w:r>
      <w:r>
        <w:rPr>
          <w:b/>
          <w:bCs/>
        </w:rPr>
        <w:t xml:space="preserve">E6</w:t>
      </w:r>
      <w:r>
        <w:t xml:space="preserve">).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0"/>
    <w:bookmarkStart w:id="31" w:name="c2.-traçabilité-de-la-mise-à-la-fonte"/>
    <w:p>
      <w:pPr>
        <w:pStyle w:val="Heading2"/>
      </w:pPr>
      <w:r>
        <w:t xml:space="preserve">C2. Traçabilité de la mise à la fonte</w:t>
      </w:r>
    </w:p>
    <w:p>
      <w:pPr>
        <w:pStyle w:val="BlockText"/>
      </w:pPr>
      <w:r>
        <w:t xml:space="preserve">« il faut générer un document qui devrait être semblable sur le contenu au</w:t>
      </w:r>
      <w:r>
        <w:t xml:space="preserve"> </w:t>
      </w:r>
      <w:r>
        <w:t xml:space="preserve">contrat de rachat mais qui est un bordereau de mise à la fonte […] et on fait un</w:t>
      </w:r>
      <w:r>
        <w:t xml:space="preserve"> </w:t>
      </w:r>
      <w:r>
        <w:t xml:space="preserve">bordereau récapitulatif pour l’envoi global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Il n’existe aujourd’hui qu’un bon de livraison global</w:t>
      </w:r>
      <w:r>
        <w:t xml:space="preserve"> </w:t>
      </w:r>
      <w:r>
        <w:t xml:space="preserve">vers la fonderie, sans le détail article par article qui vous permettrait de</w:t>
      </w:r>
      <w:r>
        <w:t xml:space="preserve"> </w:t>
      </w:r>
      <w:r>
        <w:t xml:space="preserve">saisir exactement ce qui part. À construire une fois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en place.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1"/>
    <w:bookmarkStart w:id="32" w:name="c3.-la-feuille-de-caisse"/>
    <w:p>
      <w:pPr>
        <w:pStyle w:val="Heading2"/>
      </w:pPr>
      <w:r>
        <w:t xml:space="preserve">C3. La feuille de caisse</w:t>
      </w:r>
    </w:p>
    <w:p>
      <w:pPr>
        <w:pStyle w:val="BlockText"/>
      </w:pPr>
      <w:r>
        <w:t xml:space="preserve">« il nous faudrait une feuille de caisse qui reprenne les achats et les ventes</w:t>
      </w:r>
      <w:r>
        <w:t xml:space="preserve"> </w:t>
      </w:r>
      <w:r>
        <w:t xml:space="preserve">ainsi que les modes de règlements. J’ai un modèle si tu veux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N’existe pas. Nous prenons votre modèle.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2"/>
    <w:bookmarkStart w:id="33" w:name="c4.-la-fiche-des-paiements-du-jour"/>
    <w:p>
      <w:pPr>
        <w:pStyle w:val="Heading2"/>
      </w:pPr>
      <w:r>
        <w:t xml:space="preserve">C4. La fiche des paiements du jour</w:t>
      </w:r>
    </w:p>
    <w:p>
      <w:pPr>
        <w:pStyle w:val="BlockText"/>
      </w:pPr>
      <w:r>
        <w:t xml:space="preserve">« ce serait bien qu’on ait une fiche pour les paiements de la journée qui sera</w:t>
      </w:r>
      <w:r>
        <w:t xml:space="preserve"> </w:t>
      </w:r>
      <w:r>
        <w:t xml:space="preserve">distincte de la feuille de caisse, ça permet de repérer ce genre d’erreurs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N’existe pas. Nous retenons votre argument : c’est</w:t>
      </w:r>
      <w:r>
        <w:t xml:space="preserve"> </w:t>
      </w:r>
      <w:r>
        <w:t xml:space="preserve">un outil de contrôle, pas seulement un état.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3"/>
    <w:bookmarkStart w:id="34" w:name="Xa033248b7fdbf56bbf5444e02539503468bc4e7"/>
    <w:p>
      <w:pPr>
        <w:pStyle w:val="Heading2"/>
      </w:pPr>
      <w:r>
        <w:t xml:space="preserve">C5. Les clients « sociétés » et les fournisseurs</w:t>
      </w:r>
    </w:p>
    <w:p>
      <w:pPr>
        <w:pStyle w:val="BlockText"/>
      </w:pPr>
      <w:r>
        <w:t xml:space="preserve">« il faut prévoir les sociétés, nous n’avons pas que des particuliers dans nos</w:t>
      </w:r>
      <w:r>
        <w:t xml:space="preserve"> </w:t>
      </w:r>
      <w:r>
        <w:t xml:space="preserve">clients et nous avons aussi des fournisseurs avec des kbis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La fiche client est aujourd’hui exclusivement une</w:t>
      </w:r>
      <w:r>
        <w:t xml:space="preserve"> </w:t>
      </w:r>
      <w:r>
        <w:t xml:space="preserve">personne physique : civilité, nom et prénom sont obligatoires, et il n’existe</w:t>
      </w:r>
      <w:r>
        <w:t xml:space="preserve"> </w:t>
      </w:r>
      <w:r>
        <w:t xml:space="preserve">aucun champ pour une raison sociale, un SIRET ou un KBIS. À ouvrir aux personnes</w:t>
      </w:r>
      <w:r>
        <w:t xml:space="preserve"> </w:t>
      </w:r>
      <w:r>
        <w:t xml:space="preserve">morales, côté clients comme côté fournisseurs.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4"/>
    <w:bookmarkStart w:id="35" w:name="c6.-laccès-au-livre-de-police"/>
    <w:p>
      <w:pPr>
        <w:pStyle w:val="Heading2"/>
      </w:pPr>
      <w:r>
        <w:t xml:space="preserve">C6. L’accès au livre de police</w:t>
      </w:r>
    </w:p>
    <w:p>
      <w:pPr>
        <w:pStyle w:val="BlockText"/>
      </w:pPr>
      <w:r>
        <w:t xml:space="preserve">« est ce qu’on peut accéder au livre de police ? ne serait ce que si on est</w:t>
      </w:r>
      <w:r>
        <w:t xml:space="preserve"> </w:t>
      </w:r>
      <w:r>
        <w:t xml:space="preserve">audités et que tu n’es pas dispo à ce moment là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Il n’existe aujourd’hui ni page ni export. Votre</w:t>
      </w:r>
      <w:r>
        <w:t xml:space="preserve"> </w:t>
      </w:r>
      <w:r>
        <w:t xml:space="preserve">raison est la bonne : vous devez pouvoir le sortir seule, à tout moment. C’est</w:t>
      </w:r>
      <w:r>
        <w:t xml:space="preserve"> </w:t>
      </w:r>
      <w:r>
        <w:t xml:space="preserve">un sujet réglementaire, nous le traitons comme tel.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5"/>
    <w:bookmarkStart w:id="36" w:name="c7.-les-états-de-stock-imprimables"/>
    <w:p>
      <w:pPr>
        <w:pStyle w:val="Heading2"/>
      </w:pPr>
      <w:r>
        <w:t xml:space="preserve">C7. Les états de stock imprimables</w:t>
      </w:r>
    </w:p>
    <w:p>
      <w:pPr>
        <w:pStyle w:val="BlockText"/>
      </w:pPr>
      <w:r>
        <w:t xml:space="preserve">« est il possible d’imprimer les stocks : bijoux à la casse, bijoux en direct,</w:t>
      </w:r>
      <w:r>
        <w:t xml:space="preserve"> </w:t>
      </w:r>
      <w:r>
        <w:t xml:space="preserve">bijoux neufs, dv et oi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Aucune impression ni export n’existe aujourd’hui dans</w:t>
      </w:r>
      <w:r>
        <w:t xml:space="preserve"> </w:t>
      </w:r>
      <w:r>
        <w:t xml:space="preserve">le stock. Dépend en partie de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pour être réellement exploitable.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6"/>
    <w:bookmarkStart w:id="37" w:name="c8.-les-photos-des-articles"/>
    <w:p>
      <w:pPr>
        <w:pStyle w:val="Heading2"/>
      </w:pPr>
      <w:r>
        <w:t xml:space="preserve">C8. Les photos des articles</w:t>
      </w:r>
    </w:p>
    <w:p>
      <w:pPr>
        <w:pStyle w:val="BlockText"/>
      </w:pPr>
      <w:r>
        <w:t xml:space="preserve">« pour les DV, il faut pouvoir mettre des photos devant les objets »</w:t>
      </w:r>
    </w:p>
    <w:p>
      <w:pPr>
        <w:pStyle w:val="BlockText"/>
      </w:pPr>
      <w:r>
        <w:t xml:space="preserve">« et tout d’un coup je me dis où sont les photos des bijoux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Les photos s’affichent bien lorsqu’elles existent,</w:t>
      </w:r>
      <w:r>
        <w:t xml:space="preserve"> </w:t>
      </w:r>
      <w:r>
        <w:t xml:space="preserve">mais</w:t>
      </w:r>
      <w:r>
        <w:t xml:space="preserve"> </w:t>
      </w:r>
      <w:r>
        <w:rPr>
          <w:b/>
          <w:bCs/>
        </w:rPr>
        <w:t xml:space="preserve">aucun écran ne permet d’en ajouter</w:t>
      </w:r>
      <w:r>
        <w:t xml:space="preserve">. Le champ reste donc toujours vide.</w:t>
      </w:r>
      <w:r>
        <w:t xml:space="preserve"> </w:t>
      </w:r>
      <w:r>
        <w:t xml:space="preserve">Nous ouvrons l’ajout de photos, en commençant par les dépôts-ventes comme vous</w:t>
      </w:r>
      <w:r>
        <w:t xml:space="preserve"> </w:t>
      </w:r>
      <w:r>
        <w:t xml:space="preserve">le demandez.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7"/>
    <w:bookmarkStart w:id="38" w:name="c9.-les-réparations"/>
    <w:p>
      <w:pPr>
        <w:pStyle w:val="Heading2"/>
      </w:pPr>
      <w:r>
        <w:t xml:space="preserve">C9. Les réparations</w:t>
      </w:r>
    </w:p>
    <w:p>
      <w:pPr>
        <w:pStyle w:val="BlockText"/>
      </w:pPr>
      <w:r>
        <w:t xml:space="preserve">« on n’a pas trouvé les réparations, mais si je comprends bien c’est uniquement</w:t>
      </w:r>
      <w:r>
        <w:t xml:space="preserve"> </w:t>
      </w:r>
      <w:r>
        <w:t xml:space="preserve">sur les bijoux qui sont en stock, je ne pourrais pas faire la réparation d’un</w:t>
      </w:r>
      <w:r>
        <w:t xml:space="preserve"> </w:t>
      </w:r>
      <w:r>
        <w:t xml:space="preserve">bijou que tu amènerais la prochaine fois ? »</w:t>
      </w:r>
    </w:p>
    <w:p>
      <w:pPr>
        <w:pStyle w:val="BlockText"/>
      </w:pPr>
      <w:r>
        <w:t xml:space="preserve">« les réparations, ça va être un grand chapitre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Vous avez bien deviné : la fonction existe, mais</w:t>
      </w:r>
      <w:r>
        <w:t xml:space="preserve"> </w:t>
      </w:r>
      <w:r>
        <w:t xml:space="preserve">uniquement depuis la fiche d’un bijou déjà en stock, et sans entrée dans le</w:t>
      </w:r>
      <w:r>
        <w:t xml:space="preserve"> </w:t>
      </w:r>
      <w:r>
        <w:t xml:space="preserve">menu — ce qui la rend introuvable. Vous demandez en plus deux choses qui</w:t>
      </w:r>
      <w:r>
        <w:t xml:space="preserve"> </w:t>
      </w:r>
      <w:r>
        <w:t xml:space="preserve">n’existent pas : la réparation d’un bijou apporté par un client, et la</w:t>
      </w:r>
      <w:r>
        <w:t xml:space="preserve"> </w:t>
      </w:r>
      <w:r>
        <w:t xml:space="preserve">réparation d’un dépôt-vente refacturée au déposant au franc le franc.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8"/>
    <w:bookmarkStart w:id="39" w:name="c10.-les-titrages"/>
    <w:p>
      <w:pPr>
        <w:pStyle w:val="Heading2"/>
      </w:pPr>
      <w:r>
        <w:t xml:space="preserve">C10. Les titrages</w:t>
      </w:r>
    </w:p>
    <w:p>
      <w:pPr>
        <w:pStyle w:val="BlockText"/>
      </w:pPr>
      <w:r>
        <w:t xml:space="preserve">« les titrages ne vont pas du tout. Pour l’or, tu peux enlever le 333 qu’on</w:t>
      </w:r>
      <w:r>
        <w:t xml:space="preserve"> </w:t>
      </w:r>
      <w:r>
        <w:t xml:space="preserve">n’achète pas. Par contre, il faut a minima ajouter le 800 qui est de l’or</w:t>
      </w:r>
      <w:r>
        <w:t xml:space="preserve"> </w:t>
      </w:r>
      <w:r>
        <w:t xml:space="preserve">portugais et, soit on a une case vide pour un titrage farfelu, soit on peut</w:t>
      </w:r>
      <w:r>
        <w:t xml:space="preserve"> </w:t>
      </w:r>
      <w:r>
        <w:t xml:space="preserve">mettre directement le titrage nous mêmes, d’autant que les titrages pour</w:t>
      </w:r>
      <w:r>
        <w:t xml:space="preserve"> </w:t>
      </w:r>
      <w:r>
        <w:t xml:space="preserve">l’argent et le platine sont différents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Confirmé sans réserve : la liste proposée est la même</w:t>
      </w:r>
      <w:r>
        <w:t xml:space="preserve"> </w:t>
      </w:r>
      <w:r>
        <w:t xml:space="preserve">pour tous les métaux (333, 375, 585, 750, 999), ce qui n’a de sens que pour</w:t>
      </w:r>
      <w:r>
        <w:t xml:space="preserve"> </w:t>
      </w:r>
      <w:r>
        <w:t xml:space="preserve">l’or.</w:t>
      </w:r>
    </w:p>
    <w:p>
      <w:pPr>
        <w:pStyle w:val="BodyText"/>
      </w:pPr>
      <w:r>
        <w:rPr>
          <w:b/>
          <w:bCs/>
        </w:rPr>
        <w:t xml:space="preserve">Ce que nous ferons.</w:t>
      </w:r>
      <w:r>
        <w:t xml:space="preserve"> </w:t>
      </w:r>
      <w:r>
        <w:t xml:space="preserve">Retirer le 333, ajouter le 800, ouvrir des listes propres</w:t>
      </w:r>
      <w:r>
        <w:t xml:space="preserve"> </w:t>
      </w:r>
      <w:r>
        <w:t xml:space="preserve">à chaque métal (argent : 800 et 925 ; platine : 950 et 980) et autoriser la</w:t>
      </w:r>
      <w:r>
        <w:t xml:space="preserve"> </w:t>
      </w:r>
      <w:r>
        <w:t xml:space="preserve">saisie libre d’un titrage. Nous notons également le raccordement au</w:t>
      </w:r>
      <w:r>
        <w:t xml:space="preserve"> </w:t>
      </w:r>
      <w:r>
        <w:t xml:space="preserve">spectromètre que vous comptez acquérir — nous vous ferons une proposition</w:t>
      </w:r>
      <w:r>
        <w:t xml:space="preserve"> </w:t>
      </w:r>
      <w:r>
        <w:t xml:space="preserve">séparée.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39"/>
    <w:bookmarkStart w:id="40" w:name="c11.-les-cours-et-les-coefficients"/>
    <w:p>
      <w:pPr>
        <w:pStyle w:val="Heading2"/>
      </w:pPr>
      <w:r>
        <w:t xml:space="preserve">C11. Les cours et les coefficients</w:t>
      </w:r>
    </w:p>
    <w:p>
      <w:pPr>
        <w:pStyle w:val="BlockText"/>
      </w:pPr>
      <w:r>
        <w:t xml:space="preserve">« la carte des cours, prix et coefficients sont différents, selon qu’il s’agit</w:t>
      </w:r>
      <w:r>
        <w:t xml:space="preserve"> </w:t>
      </w:r>
      <w:r>
        <w:t xml:space="preserve">de bijoux ou d’or investissement. Et dans les bijoux, s’ils sont neufs, en DV ou</w:t>
      </w:r>
      <w:r>
        <w:t xml:space="preserve"> </w:t>
      </w:r>
      <w:r>
        <w:t xml:space="preserve">en direct… »</w:t>
      </w:r>
    </w:p>
    <w:p>
      <w:pPr>
        <w:pStyle w:val="BlockText"/>
      </w:pPr>
      <w:r>
        <w:t xml:space="preserve">« nous l’actualisons le matin et le midi »</w:t>
      </w:r>
    </w:p>
    <w:p>
      <w:pPr>
        <w:pStyle w:val="BlockText"/>
      </w:pPr>
      <w:r>
        <w:t xml:space="preserve">« il y a les pièces et lingots avec le prix du marché, de rachat et de vente.</w:t>
      </w:r>
      <w:r>
        <w:t xml:space="preserve"> </w:t>
      </w:r>
      <w:r>
        <w:t xml:space="preserve">j’ai un modèle si tu veux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Un seul coefficient d’achat et un seul coefficient de</w:t>
      </w:r>
      <w:r>
        <w:t xml:space="preserve"> </w:t>
      </w:r>
      <w:r>
        <w:t xml:space="preserve">vente s’appliquent aujourd’hui à absolument tout. Vos quatre demandes sont donc</w:t>
      </w:r>
      <w:r>
        <w:t xml:space="preserve"> </w:t>
      </w:r>
      <w:r>
        <w:t xml:space="preserve">toutes des ajouts : coefficients par métal et par nature de marchandise, deux</w:t>
      </w:r>
      <w:r>
        <w:t xml:space="preserve"> </w:t>
      </w:r>
      <w:r>
        <w:t xml:space="preserve">relevés quotidiens, accès au cours depuis n’importe quel écran, et le tableau</w:t>
      </w:r>
      <w:r>
        <w:t xml:space="preserve"> </w:t>
      </w:r>
      <w:r>
        <w:t xml:space="preserve">d’affichage prix marché / rachat / vente. Nous reprenons votre modèle — il nous</w:t>
      </w:r>
      <w:r>
        <w:t xml:space="preserve"> </w:t>
      </w:r>
      <w:r>
        <w:t xml:space="preserve">manque encore.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40"/>
    <w:bookmarkStart w:id="41" w:name="c12.-lor-dinvestissement-pièce-par-pièce"/>
    <w:p>
      <w:pPr>
        <w:pStyle w:val="Heading2"/>
      </w:pPr>
      <w:r>
        <w:t xml:space="preserve">C12. L’or d’investissement pièce par pièce</w:t>
      </w:r>
    </w:p>
    <w:p>
      <w:pPr>
        <w:pStyle w:val="BlockText"/>
      </w:pPr>
      <w:r>
        <w:t xml:space="preserve">« est il possible de bloquer la vente de pièces en stock qui sont déjà</w:t>
      </w:r>
      <w:r>
        <w:t xml:space="preserve"> </w:t>
      </w:r>
      <w:r>
        <w:t xml:space="preserve">attribuées à un autre client, bien qu’elles soient marquées servie en stock sur</w:t>
      </w:r>
      <w:r>
        <w:t xml:space="preserve"> </w:t>
      </w:r>
      <w:r>
        <w:t xml:space="preserve">le formulaire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Le stock d’or d’investissement est aujourd’hui un</w:t>
      </w:r>
      <w:r>
        <w:t xml:space="preserve"> </w:t>
      </w:r>
      <w:r>
        <w:t xml:space="preserve">simple compteur de quantité. Il est donc impossible de réserver une pièce pour</w:t>
      </w:r>
      <w:r>
        <w:t xml:space="preserve"> </w:t>
      </w:r>
      <w:r>
        <w:t xml:space="preserve">un client, ou de savoir laquelle lui revient. C’est aussi l’origine de votre</w:t>
      </w:r>
      <w:r>
        <w:t xml:space="preserve"> </w:t>
      </w:r>
      <w:r>
        <w:t xml:space="preserve">question sur les cinq pièces de Tony.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41"/>
    <w:bookmarkStart w:id="42" w:name="Xfb9d0d236cf80e789d92e6459f3a3a02b85fa27"/>
    <w:p>
      <w:pPr>
        <w:pStyle w:val="Heading2"/>
      </w:pPr>
      <w:r>
        <w:t xml:space="preserve">C13. Changer la destination d’un article en cours de route</w:t>
      </w:r>
    </w:p>
    <w:p>
      <w:pPr>
        <w:pStyle w:val="BlockText"/>
      </w:pPr>
      <w:r>
        <w:t xml:space="preserve">« sur les rachats comment faire un changement de destination : la personne met</w:t>
      </w:r>
      <w:r>
        <w:t xml:space="preserve"> </w:t>
      </w:r>
      <w:r>
        <w:t xml:space="preserve">en dv ou même refuse le dv et nous le vend mais nous on ne l’envoie pas à la</w:t>
      </w:r>
      <w:r>
        <w:t xml:space="preserve"> </w:t>
      </w:r>
      <w:r>
        <w:t xml:space="preserve">fonte, on le garde pour le vendre en direct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Aucun de ces chemins n’existe. Voir aussi la question</w:t>
      </w:r>
      <w:r>
        <w:t xml:space="preserve"> </w:t>
      </w:r>
      <w:r>
        <w:rPr>
          <w:b/>
          <w:bCs/>
        </w:rPr>
        <w:t xml:space="preserve">E5</w:t>
      </w:r>
      <w:r>
        <w:t xml:space="preserve"> </w:t>
      </w:r>
      <w:r>
        <w:t xml:space="preserve">sur le cas du dépôt-vente repris pour la fonte.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42"/>
    <w:bookmarkStart w:id="43" w:name="c14.-renoncer-au-délai-de-rétractation"/>
    <w:p>
      <w:pPr>
        <w:pStyle w:val="Heading2"/>
      </w:pPr>
      <w:r>
        <w:t xml:space="preserve">C14. Renoncer au délai de rétractation</w:t>
      </w:r>
    </w:p>
    <w:p>
      <w:pPr>
        <w:pStyle w:val="BlockText"/>
      </w:pPr>
      <w:r>
        <w:t xml:space="preserve">« nous avons fait des rachats les 30 et 31 juillet. Nous étions fermés à partir</w:t>
      </w:r>
      <w:r>
        <w:t xml:space="preserve"> </w:t>
      </w:r>
      <w:r>
        <w:t xml:space="preserve">du 1er. Le délai de rétractation court donc jusqu’au 3 septembre […] J’ai donc</w:t>
      </w:r>
      <w:r>
        <w:t xml:space="preserve"> </w:t>
      </w:r>
      <w:r>
        <w:t xml:space="preserve">proposé aux clients de me faire un mail disant qu’ils étaient sûrs de leur coup</w:t>
      </w:r>
      <w:r>
        <w:t xml:space="preserve"> </w:t>
      </w:r>
      <w:r>
        <w:t xml:space="preserve">et qu’ils renonçaient à leur droit de rétractation »</w:t>
      </w:r>
    </w:p>
    <w:p>
      <w:pPr>
        <w:pStyle w:val="FirstParagraph"/>
      </w:pPr>
      <w:r>
        <w:rPr>
          <w:b/>
          <w:bCs/>
        </w:rPr>
        <w:t xml:space="preserve">Ce que nous avons trouvé.</w:t>
      </w:r>
      <w:r>
        <w:t xml:space="preserve"> </w:t>
      </w:r>
      <w:r>
        <w:t xml:space="preserve">Votre cas est réel et se reproduira chaque été. Nous</w:t>
      </w:r>
      <w:r>
        <w:t xml:space="preserve"> </w:t>
      </w:r>
      <w:r>
        <w:t xml:space="preserve">prévoyons une levée anticipée du délai, avec le justificatif du client à joindre</w:t>
      </w:r>
      <w:r>
        <w:t xml:space="preserve"> </w:t>
      </w:r>
      <w:r>
        <w:t xml:space="preserve">au dossier et une trace de qui l’a levée et quand.</w:t>
      </w:r>
    </w:p>
    <w:p>
      <w:pPr>
        <w:pStyle w:val="BodyText"/>
      </w:pPr>
      <w:r>
        <w:t xml:space="preserve">☐ C’est bien ça ☐ À préciser : …………………….. ☐</w:t>
      </w:r>
      <w:r>
        <w:t xml:space="preserve"> </w:t>
      </w:r>
      <w:r>
        <w:rPr>
          <w:b/>
          <w:bCs/>
        </w:rPr>
        <w:t xml:space="preserve">Prioritaire</w:t>
      </w:r>
    </w:p>
    <w:bookmarkEnd w:id="43"/>
    <w:bookmarkEnd w:id="44"/>
    <w:bookmarkStart w:id="68" w:name="d.-vos-demandes-ponctuelles"/>
    <w:p>
      <w:pPr>
        <w:pStyle w:val="Heading1"/>
      </w:pPr>
      <w:r>
        <w:t xml:space="preserve">D. Vos demandes ponctuelles</w:t>
      </w:r>
    </w:p>
    <w:p>
      <w:pPr>
        <w:pStyle w:val="FirstParagraph"/>
      </w:pPr>
      <w:r>
        <w:t xml:space="preserve">Toutes notées, toutes réalisables. Cochez celles que nous aurions mal comprises.</w:t>
      </w:r>
    </w:p>
    <w:bookmarkStart w:id="45" w:name="X4fcade4c3d01519daf2f9a49ae7867b43a19a23"/>
    <w:p>
      <w:pPr>
        <w:pStyle w:val="Heading2"/>
      </w:pPr>
      <w:r>
        <w:t xml:space="preserve">D1. Grossir le texte des documents imprimés</w:t>
      </w:r>
    </w:p>
    <w:p>
      <w:pPr>
        <w:pStyle w:val="BlockText"/>
      </w:pPr>
      <w:r>
        <w:t xml:space="preserve">« le look des documents écrits beaucoup trop petit »</w:t>
      </w:r>
    </w:p>
    <w:p>
      <w:pPr>
        <w:pStyle w:val="FirstParagraph"/>
      </w:pPr>
      <w:r>
        <w:t xml:space="preserve">Confirmé : certains passages de vos contrats sont imprimés en très petits</w:t>
      </w:r>
      <w:r>
        <w:t xml:space="preserve"> </w:t>
      </w:r>
      <w:r>
        <w:t xml:space="preserve">caractères. Nous reprenons l’ensemble de la mise en page.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45"/>
    <w:bookmarkStart w:id="46" w:name="X076f6ce5d96f43ac205bf58be17905aba799ef7"/>
    <w:p>
      <w:pPr>
        <w:pStyle w:val="Heading2"/>
      </w:pPr>
      <w:r>
        <w:t xml:space="preserve">D2. Reprendre les coordonnées du client sur les pages suivantes</w:t>
      </w:r>
    </w:p>
    <w:p>
      <w:pPr>
        <w:pStyle w:val="BlockText"/>
      </w:pPr>
      <w:r>
        <w:t xml:space="preserve">« pour les documents qui font 2 pages, ce serait bien si les références client</w:t>
      </w:r>
      <w:r>
        <w:t xml:space="preserve"> </w:t>
      </w:r>
      <w:r>
        <w:t xml:space="preserve">étaient reprises, histoire qu’on regroupe les feuilles volantes correctement »</w:t>
      </w:r>
    </w:p>
    <w:p>
      <w:pPr>
        <w:pStyle w:val="FirstParagraph"/>
      </w:pPr>
      <w:r>
        <w:t xml:space="preserve">Aujourd’hui seul le pied de page se répète. Nous ajoutons un bandeau de rappel</w:t>
      </w:r>
      <w:r>
        <w:t xml:space="preserve"> </w:t>
      </w:r>
      <w:r>
        <w:t xml:space="preserve">en tête de chaque page suivante.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46"/>
    <w:bookmarkStart w:id="47" w:name="Xb07c6905542362ace58769e830b34849cb4f0fa"/>
    <w:p>
      <w:pPr>
        <w:pStyle w:val="Heading2"/>
      </w:pPr>
      <w:r>
        <w:t xml:space="preserve">D3. Notification de fin de devis, et mail au client</w:t>
      </w:r>
    </w:p>
    <w:p>
      <w:pPr>
        <w:pStyle w:val="BlockText"/>
      </w:pPr>
      <w:r>
        <w:t xml:space="preserve">« pour les devis tu as prévu une notif interne mais j’aurais préféré qu’elle</w:t>
      </w:r>
      <w:r>
        <w:t xml:space="preserve"> </w:t>
      </w:r>
      <w:r>
        <w:t xml:space="preserve">dise que les 48 heures viennent de se terminer et envoyer en plus un mail au</w:t>
      </w:r>
      <w:r>
        <w:t xml:space="preserve"> </w:t>
      </w:r>
      <w:r>
        <w:t xml:space="preserve">client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47"/>
    <w:bookmarkStart w:id="48" w:name="Xf0ff9bfcffb501ee2c75ca37b35198e1772da85"/>
    <w:p>
      <w:pPr>
        <w:pStyle w:val="Heading2"/>
      </w:pPr>
      <w:r>
        <w:t xml:space="preserve">D4. Imprimer d’un coup tous les documents d’une transaction</w:t>
      </w:r>
    </w:p>
    <w:p>
      <w:pPr>
        <w:pStyle w:val="BlockText"/>
      </w:pPr>
      <w:r>
        <w:t xml:space="preserve">« est ce qu’à l’impression on pourrait avoir tous les docs de la transaction</w:t>
      </w:r>
      <w:r>
        <w:t xml:space="preserve"> </w:t>
      </w:r>
      <w:r>
        <w:t xml:space="preserve">qui s’impriment en même temps : le dv et les confiés d’achats qui vont avec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48"/>
    <w:bookmarkStart w:id="49" w:name="X25fa9ba18c252813a644a0d769ee652c711774b"/>
    <w:p>
      <w:pPr>
        <w:pStyle w:val="Heading2"/>
      </w:pPr>
      <w:r>
        <w:t xml:space="preserve">D5. Des couleurs par famille sur les bandeaux</w:t>
      </w:r>
    </w:p>
    <w:p>
      <w:pPr>
        <w:pStyle w:val="BlockText"/>
      </w:pPr>
      <w:r>
        <w:t xml:space="preserve">« ce serait bien que sur les hauts des pavés ordi (barres de titres) tu mettes</w:t>
      </w:r>
      <w:r>
        <w:t xml:space="preserve"> </w:t>
      </w:r>
      <w:r>
        <w:t xml:space="preserve">des couleurs différentes pour qu’on s’y retrouve : jaune dépôts ventes, bleu</w:t>
      </w:r>
      <w:r>
        <w:t xml:space="preserve"> </w:t>
      </w:r>
      <w:r>
        <w:t xml:space="preserve">rachat et quittances et devis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49"/>
    <w:bookmarkStart w:id="50" w:name="X08c0396f27b207ec2e19339f7d2417f8322983a"/>
    <w:p>
      <w:pPr>
        <w:pStyle w:val="Heading2"/>
      </w:pPr>
      <w:r>
        <w:t xml:space="preserve">D6. Un code couleur à faire / en cours / terminé</w:t>
      </w:r>
    </w:p>
    <w:p>
      <w:pPr>
        <w:pStyle w:val="BlockText"/>
      </w:pPr>
      <w:r>
        <w:t xml:space="preserve">« d’une façon générale, est il possible de marquer les actions à faire, en cours</w:t>
      </w:r>
      <w:r>
        <w:t xml:space="preserve"> </w:t>
      </w:r>
      <w:r>
        <w:t xml:space="preserve">et terminées de couleur différente »</w:t>
      </w:r>
    </w:p>
    <w:p>
      <w:pPr>
        <w:pStyle w:val="FirstParagraph"/>
      </w:pPr>
      <w:r>
        <w:t xml:space="preserve">Nous en profitons pour harmoniser l’incohérence que vous avez relevée : « pourquoi</w:t>
      </w:r>
      <w:r>
        <w:t xml:space="preserve"> </w:t>
      </w:r>
      <w:r>
        <w:t xml:space="preserve">vendu est en vert et dans confiés en rouge ».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50"/>
    <w:bookmarkStart w:id="51" w:name="d7.-des-alertes-lisibles-et-cliquables"/>
    <w:p>
      <w:pPr>
        <w:pStyle w:val="Heading2"/>
      </w:pPr>
      <w:r>
        <w:t xml:space="preserve">D7. Des alertes lisibles et cliquables</w:t>
      </w:r>
    </w:p>
    <w:p>
      <w:pPr>
        <w:pStyle w:val="BlockText"/>
      </w:pPr>
      <w:r>
        <w:t xml:space="preserve">« je n’arrive pas à tout lire sans cliquer dessus, est il possible de faire</w:t>
      </w:r>
      <w:r>
        <w:t xml:space="preserve"> </w:t>
      </w:r>
      <w:r>
        <w:t xml:space="preserve">facilement un lien pour atterrir directement sur le dossier en question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51"/>
    <w:bookmarkStart w:id="52" w:name="X7f5e3663f64585fd691fee6c493e50d463926f0"/>
    <w:p>
      <w:pPr>
        <w:pStyle w:val="Heading2"/>
      </w:pPr>
      <w:r>
        <w:t xml:space="preserve">D8. Alerte dépôt-vente seulement sur ce qui est dû</w:t>
      </w:r>
    </w:p>
    <w:p>
      <w:pPr>
        <w:pStyle w:val="BlockText"/>
      </w:pPr>
      <w:r>
        <w:t xml:space="preserve">« les DV ne sont terminés que lorsque tout est vendu, ça veut dire que pour</w:t>
      </w:r>
      <w:r>
        <w:t xml:space="preserve"> </w:t>
      </w:r>
      <w:r>
        <w:t xml:space="preserve">certains, ils vont rester là pendant des années. Ce serait mieux de ne faire une</w:t>
      </w:r>
      <w:r>
        <w:t xml:space="preserve"> </w:t>
      </w:r>
      <w:r>
        <w:t xml:space="preserve">alerte que pour les bijoux vendus à payer au déposant et s’il y a eu une</w:t>
      </w:r>
      <w:r>
        <w:t xml:space="preserve"> </w:t>
      </w:r>
      <w:r>
        <w:t xml:space="preserve">réparation, prévoir une ligne rouge pour en retirer le montant du montant final</w:t>
      </w:r>
      <w:r>
        <w:t xml:space="preserve"> </w:t>
      </w:r>
      <w:r>
        <w:t xml:space="preserve">à payer au déposant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52"/>
    <w:bookmarkStart w:id="53" w:name="X919fbc3dfe4a98fdfbe38cb5bf56de1174d64a5"/>
    <w:p>
      <w:pPr>
        <w:pStyle w:val="Heading2"/>
      </w:pPr>
      <w:r>
        <w:t xml:space="preserve">D9. Les règlements visibles dans le suivi fonderie</w:t>
      </w:r>
    </w:p>
    <w:p>
      <w:pPr>
        <w:pStyle w:val="BlockText"/>
      </w:pPr>
      <w:r>
        <w:t xml:space="preserve">« dans suivi fonderie quand il s’agit d’une cde que l’on passe, bdc 2026 0002 il</w:t>
      </w:r>
      <w:r>
        <w:t xml:space="preserve"> </w:t>
      </w:r>
      <w:r>
        <w:t xml:space="preserve">faudrait qu’il y ait les références du ou des paiements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53"/>
    <w:bookmarkStart w:id="54" w:name="d10.-arrondir-les-prix-de-vente"/>
    <w:p>
      <w:pPr>
        <w:pStyle w:val="Heading2"/>
      </w:pPr>
      <w:r>
        <w:t xml:space="preserve">D10. Arrondir les prix de vente</w:t>
      </w:r>
    </w:p>
    <w:p>
      <w:pPr>
        <w:pStyle w:val="BlockText"/>
      </w:pPr>
      <w:r>
        <w:t xml:space="preserve">« est ce qu’on peut modifier le prix de vente dans le dv pour arrondir parce que</w:t>
      </w:r>
      <w:r>
        <w:t xml:space="preserve"> </w:t>
      </w:r>
      <w:r>
        <w:t xml:space="preserve">les % ça tombe pas juste et je ne peux pas afficher un prix 14 597,63 € »</w:t>
      </w:r>
    </w:p>
    <w:p>
      <w:pPr>
        <w:pStyle w:val="BlockText"/>
      </w:pPr>
      <w:r>
        <w:t xml:space="preserve">« J’aurais aimé le faire à 400 et non pas à 400,40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54"/>
    <w:bookmarkStart w:id="55" w:name="d11.-un-rappel-à-la-restitution"/>
    <w:p>
      <w:pPr>
        <w:pStyle w:val="Heading2"/>
      </w:pPr>
      <w:r>
        <w:t xml:space="preserve">D11. Un rappel à la restitution</w:t>
      </w:r>
    </w:p>
    <w:p>
      <w:pPr>
        <w:pStyle w:val="BlockText"/>
      </w:pPr>
      <w:r>
        <w:t xml:space="preserve">« est ce que tu pourrais ajouter un pense bête : SURTOUT FAITES SIGNER LA</w:t>
      </w:r>
      <w:r>
        <w:t xml:space="preserve"> </w:t>
      </w:r>
      <w:r>
        <w:t xml:space="preserve">FEUILLE AU CLIENT AVEC LA DATE DE RESTITUTION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55"/>
    <w:bookmarkStart w:id="56" w:name="Xd996e7b69b641abc05200a6a7b8105d076330bb"/>
    <w:p>
      <w:pPr>
        <w:pStyle w:val="Heading2"/>
      </w:pPr>
      <w:r>
        <w:t xml:space="preserve">D12. Pas de pièce d’identité pour une vente</w:t>
      </w:r>
    </w:p>
    <w:p>
      <w:pPr>
        <w:pStyle w:val="BlockText"/>
      </w:pPr>
      <w:r>
        <w:t xml:space="preserve">« est il possible de ne pas demander la pièce d’identité pour une vente de</w:t>
      </w:r>
      <w:r>
        <w:t xml:space="preserve"> </w:t>
      </w:r>
      <w:r>
        <w:t xml:space="preserve">bijoux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56"/>
    <w:bookmarkStart w:id="57" w:name="d13.-rendre-le-mot-de-passe-visible"/>
    <w:p>
      <w:pPr>
        <w:pStyle w:val="Heading2"/>
      </w:pPr>
      <w:r>
        <w:t xml:space="preserve">D13. Rendre le mot de passe visible</w:t>
      </w:r>
    </w:p>
    <w:p>
      <w:pPr>
        <w:pStyle w:val="BlockText"/>
      </w:pPr>
      <w:r>
        <w:t xml:space="preserve">« peux tu rendre le mot de passe apparent, parce que taper en aveugle c’est pas</w:t>
      </w:r>
      <w:r>
        <w:t xml:space="preserve"> </w:t>
      </w:r>
      <w:r>
        <w:t xml:space="preserve">pour moi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57"/>
    <w:bookmarkStart w:id="58" w:name="d14.-nationalités-par-ordre-alphabétique"/>
    <w:p>
      <w:pPr>
        <w:pStyle w:val="Heading2"/>
      </w:pPr>
      <w:r>
        <w:t xml:space="preserve">D14. Nationalités par ordre alphabétique</w:t>
      </w:r>
    </w:p>
    <w:p>
      <w:pPr>
        <w:pStyle w:val="BlockText"/>
      </w:pPr>
      <w:r>
        <w:t xml:space="preserve">« La liste des nationalités n’est pas par ordre alphabétique et je n’ai pas</w:t>
      </w:r>
      <w:r>
        <w:t xml:space="preserve"> </w:t>
      </w:r>
      <w:r>
        <w:t xml:space="preserve">vérifié si tous les pays y sont »</w:t>
      </w:r>
    </w:p>
    <w:p>
      <w:pPr>
        <w:pStyle w:val="FirstParagraph"/>
      </w:pPr>
      <w:r>
        <w:t xml:space="preserve">Confirmé : la liste commence par une dizaine de pays « fréquents » avant de</w:t>
      </w:r>
      <w:r>
        <w:t xml:space="preserve"> </w:t>
      </w:r>
      <w:r>
        <w:t xml:space="preserve">reprendre l’ordre alphabétique. Elle contient 193 pays. Un champ de recherche</w:t>
      </w:r>
      <w:r>
        <w:t xml:space="preserve"> </w:t>
      </w:r>
      <w:r>
        <w:t xml:space="preserve">existe déjà, mais il ne se voit pas assez.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58"/>
    <w:bookmarkStart w:id="59" w:name="Xb5de26c6737760c0c71425144b9d731b31cd068"/>
    <w:p>
      <w:pPr>
        <w:pStyle w:val="Heading2"/>
      </w:pPr>
      <w:r>
        <w:t xml:space="preserve">D15. Relance fournisseur, et réception avant paiement</w:t>
      </w:r>
    </w:p>
    <w:p>
      <w:pPr>
        <w:pStyle w:val="BlockText"/>
      </w:pPr>
      <w:r>
        <w:t xml:space="preserve">« est ce qu’on peut les recevoir sans avoir payé ? si oui, est il possible</w:t>
      </w:r>
      <w:r>
        <w:t xml:space="preserve"> </w:t>
      </w:r>
      <w:r>
        <w:t xml:space="preserve">d’avoir une relance pour payer le fournisseur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59"/>
    <w:bookmarkStart w:id="60" w:name="X545beb8bbed4c2a5b5db0892b367b9c49ef4706"/>
    <w:p>
      <w:pPr>
        <w:pStyle w:val="Heading2"/>
      </w:pPr>
      <w:r>
        <w:t xml:space="preserve">D16. Commander de l’or sans réservation client</w:t>
      </w:r>
    </w:p>
    <w:p>
      <w:pPr>
        <w:pStyle w:val="BlockText"/>
      </w:pPr>
      <w:r>
        <w:t xml:space="preserve">« j’ai l’impression que je ne peux pas commander si je n’ai pas une résa d’un</w:t>
      </w:r>
      <w:r>
        <w:t xml:space="preserve"> </w:t>
      </w:r>
      <w:r>
        <w:t xml:space="preserve">client […] Je pourrais vouloir en commander un justement pour payer une facture</w:t>
      </w:r>
      <w:r>
        <w:t xml:space="preserve"> </w:t>
      </w:r>
      <w:r>
        <w:t xml:space="preserve">ou faire des cadeaux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60"/>
    <w:bookmarkStart w:id="61" w:name="d17.-un-guide-et-maintenant"/>
    <w:p>
      <w:pPr>
        <w:pStyle w:val="Heading2"/>
      </w:pPr>
      <w:r>
        <w:t xml:space="preserve">D17. Un guide « et maintenant »</w:t>
      </w:r>
    </w:p>
    <w:p>
      <w:pPr>
        <w:pStyle w:val="BlockText"/>
      </w:pPr>
      <w:r>
        <w:t xml:space="preserve">« on pourrait pas avoir un guide du genre, maintenant que vous avez fait ça,</w:t>
      </w:r>
      <w:r>
        <w:t xml:space="preserve"> </w:t>
      </w:r>
      <w:r>
        <w:t xml:space="preserve">vous devez faire telle action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61"/>
    <w:bookmarkStart w:id="62" w:name="X92840f9afb0dfd4930b7db63d6e5c2812e4df5b"/>
    <w:p>
      <w:pPr>
        <w:pStyle w:val="Heading2"/>
      </w:pPr>
      <w:r>
        <w:t xml:space="preserve">D18. La saisie d’un rachat sous forme de tableau</w:t>
      </w:r>
    </w:p>
    <w:p>
      <w:pPr>
        <w:pStyle w:val="BlockText"/>
      </w:pPr>
      <w:r>
        <w:t xml:space="preserve">« c’est bien séquencé mais du coup un peu long, idem pour le rachat de bijoux,</w:t>
      </w:r>
      <w:r>
        <w:t xml:space="preserve"> </w:t>
      </w:r>
      <w:r>
        <w:t xml:space="preserve">ce serait bien qu’on ai plutôt un tableau à remplir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62"/>
    <w:bookmarkStart w:id="63" w:name="Xa8f4d96e268fa3847999b382dd3a7a3f5300895"/>
    <w:p>
      <w:pPr>
        <w:pStyle w:val="Heading2"/>
      </w:pPr>
      <w:r>
        <w:t xml:space="preserve">D19. Historiser les pièces d’identité renouvelées</w:t>
      </w:r>
    </w:p>
    <w:p>
      <w:pPr>
        <w:pStyle w:val="BlockText"/>
      </w:pPr>
      <w:r>
        <w:t xml:space="preserve">« peut on modifier les pièces d’identité : une personne vient de renouveler,</w:t>
      </w:r>
      <w:r>
        <w:t xml:space="preserve"> </w:t>
      </w:r>
      <w:r>
        <w:t xml:space="preserve">mais il faut que l’ancienne reste en mémoire »</w:t>
      </w:r>
    </w:p>
    <w:p>
      <w:pPr>
        <w:pStyle w:val="FirstParagraph"/>
      </w:pPr>
      <w:r>
        <w:t xml:space="preserve">Vous pouvez déjà enregistrer plusieurs pièces pour un même client et désigner</w:t>
      </w:r>
      <w:r>
        <w:t xml:space="preserve"> </w:t>
      </w:r>
      <w:r>
        <w:t xml:space="preserve">laquelle est la principale. En revanche, si vous</w:t>
      </w:r>
      <w:r>
        <w:t xml:space="preserve"> </w:t>
      </w:r>
      <w:r>
        <w:rPr>
          <w:i/>
          <w:iCs/>
        </w:rPr>
        <w:t xml:space="preserve">modifiez</w:t>
      </w:r>
      <w:r>
        <w:t xml:space="preserve"> </w:t>
      </w:r>
      <w:r>
        <w:t xml:space="preserve">une pièce, l’ancienne</w:t>
      </w:r>
      <w:r>
        <w:t xml:space="preserve"> </w:t>
      </w:r>
      <w:r>
        <w:t xml:space="preserve">version est écrasée. Nous ajoutons un vrai renouvellement, qui archive la</w:t>
      </w:r>
      <w:r>
        <w:t xml:space="preserve"> </w:t>
      </w:r>
      <w:r>
        <w:t xml:space="preserve">précédente.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63"/>
    <w:bookmarkStart w:id="64" w:name="Xb29f044c5fd29a18e981d114ba2ad11ae0a0bc5"/>
    <w:p>
      <w:pPr>
        <w:pStyle w:val="Heading2"/>
      </w:pPr>
      <w:r>
        <w:t xml:space="preserve">D20. Préciser la règle de paiement de l’or d’investissement</w:t>
      </w:r>
    </w:p>
    <w:p>
      <w:pPr>
        <w:pStyle w:val="BlockText"/>
      </w:pPr>
      <w:r>
        <w:t xml:space="preserve">« préciser que les 90% d’OI se paient par virement sauf si le client a tout payé</w:t>
      </w:r>
      <w:r>
        <w:t xml:space="preserve"> </w:t>
      </w:r>
      <w:r>
        <w:t xml:space="preserve">en cb à la cde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64"/>
    <w:bookmarkStart w:id="65" w:name="X9adb73009bee1b473ce822b7bb7b914f40c5219"/>
    <w:p>
      <w:pPr>
        <w:pStyle w:val="Heading2"/>
      </w:pPr>
      <w:r>
        <w:t xml:space="preserve">D21. Pont avec la facturation électronique et la banque</w:t>
      </w:r>
    </w:p>
    <w:p>
      <w:pPr>
        <w:pStyle w:val="BlockText"/>
      </w:pPr>
      <w:r>
        <w:t xml:space="preserve">« Pourra t on faire un pont avec la facture électronique et la banque »</w:t>
      </w:r>
    </w:p>
    <w:p>
      <w:pPr>
        <w:pStyle w:val="FirstParagraph"/>
      </w:pPr>
      <w:r>
        <w:t xml:space="preserve">Oui, c’est possible. C’est un chantier à part entière, que nous chiffrerons</w:t>
      </w:r>
      <w:r>
        <w:t xml:space="preserve"> </w:t>
      </w:r>
      <w:r>
        <w:t xml:space="preserve">séparément — dites-nous simplement quelle banque et quel outil de facturation</w:t>
      </w:r>
      <w:r>
        <w:t xml:space="preserve"> </w:t>
      </w:r>
      <w:r>
        <w:t xml:space="preserve">électronique vous visez.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65"/>
    <w:bookmarkStart w:id="66" w:name="d22.-le-sablier-de-lactivité-récente"/>
    <w:p>
      <w:pPr>
        <w:pStyle w:val="Heading2"/>
      </w:pPr>
      <w:r>
        <w:t xml:space="preserve">D22. Le sablier de l’activité récente</w:t>
      </w:r>
    </w:p>
    <w:p>
      <w:pPr>
        <w:pStyle w:val="BlockText"/>
      </w:pPr>
      <w:r>
        <w:t xml:space="preserve">« je n’ai pas vu le sablier en activité »</w:t>
      </w:r>
    </w:p>
    <w:p>
      <w:pPr>
        <w:pStyle w:val="FirstParagraph"/>
      </w:pPr>
      <w:r>
        <w:t xml:space="preserve">☐ C’est bien ça ☐ À préciser : …………………………………………</w:t>
      </w:r>
    </w:p>
    <w:bookmarkEnd w:id="66"/>
    <w:bookmarkStart w:id="67" w:name="Xa697cae983e4ee3cfb9c6428f08239f0c941714"/>
    <w:p>
      <w:pPr>
        <w:pStyle w:val="Heading2"/>
      </w:pPr>
      <w:r>
        <w:t xml:space="preserve">D23. Les rachats bijou par bijou pour la récolte</w:t>
      </w:r>
    </w:p>
    <w:p>
      <w:pPr>
        <w:pStyle w:val="BlockText"/>
      </w:pPr>
      <w:r>
        <w:t xml:space="preserve">« ce serait bien d’avoir les rachats bijoux par bijoux parce que je n’ai aucun</w:t>
      </w:r>
      <w:r>
        <w:t xml:space="preserve"> </w:t>
      </w:r>
      <w:r>
        <w:t xml:space="preserve">moyen de faire ma récolte »</w:t>
      </w:r>
    </w:p>
    <w:p>
      <w:pPr>
        <w:pStyle w:val="FirstParagraph"/>
      </w:pPr>
      <w:r>
        <w:t xml:space="preserve">Dépend entièrement de</w:t>
      </w:r>
      <w:r>
        <w:t xml:space="preserve"> </w:t>
      </w:r>
      <w:r>
        <w:rPr>
          <w:b/>
          <w:bCs/>
        </w:rPr>
        <w:t xml:space="preserve">C1</w:t>
      </w:r>
      <w:r>
        <w:t xml:space="preserve">.</w:t>
      </w:r>
    </w:p>
    <w:p>
      <w:pPr>
        <w:pStyle w:val="BodyText"/>
      </w:pPr>
      <w:r>
        <w:t xml:space="preserve">☐ C’est bien ça ☐ À préciser : …………………………………………</w:t>
      </w:r>
    </w:p>
    <w:bookmarkEnd w:id="67"/>
    <w:bookmarkEnd w:id="68"/>
    <w:bookmarkStart w:id="76" w:name="e.-nous-avons-besoin-de-votre-décision"/>
    <w:p>
      <w:pPr>
        <w:pStyle w:val="Heading1"/>
      </w:pPr>
      <w:r>
        <w:t xml:space="preserve">E. Nous avons besoin de votre décision</w:t>
      </w:r>
    </w:p>
    <w:p>
      <w:pPr>
        <w:pStyle w:val="FirstParagraph"/>
      </w:pPr>
      <w:r>
        <w:t xml:space="preserve">Ces points ne peuvent pas être tranchés sans vous.</w:t>
      </w:r>
    </w:p>
    <w:bookmarkStart w:id="69" w:name="Xaf08b46078159775cc93137f679b370b3d80e0d"/>
    <w:p>
      <w:pPr>
        <w:pStyle w:val="Heading2"/>
      </w:pPr>
      <w:r>
        <w:t xml:space="preserve">E1. Peut-on travailler avec une pièce d’identité périmée ?</w:t>
      </w:r>
    </w:p>
    <w:p>
      <w:pPr>
        <w:pStyle w:val="BlockText"/>
      </w:pPr>
      <w:r>
        <w:t xml:space="preserve">« peut on faire une transaction avec une personne qui a une cni périmée ou faut</w:t>
      </w:r>
      <w:r>
        <w:t xml:space="preserve"> </w:t>
      </w:r>
      <w:r>
        <w:t xml:space="preserve">il lui dire de revenir ? »</w:t>
      </w:r>
    </w:p>
    <w:p>
      <w:pPr>
        <w:pStyle w:val="FirstParagraph"/>
      </w:pPr>
      <w:r>
        <w:rPr>
          <w:b/>
          <w:bCs/>
        </w:rPr>
        <w:t xml:space="preserve">Aujourd’hui, c’est bloquant.</w:t>
      </w:r>
      <w:r>
        <w:t xml:space="preserve"> </w:t>
      </w:r>
      <w:r>
        <w:t xml:space="preserve">Un client dont la pièce est périmée — ou dont la</w:t>
      </w:r>
      <w:r>
        <w:t xml:space="preserve"> </w:t>
      </w:r>
      <w:r>
        <w:t xml:space="preserve">date d’expiration n’a simplement pas été saisie — n’apparaît plus du tout dans</w:t>
      </w:r>
      <w:r>
        <w:t xml:space="preserve"> </w:t>
      </w:r>
      <w:r>
        <w:t xml:space="preserve">la liste au moment de créer un dossier. C’est très probablement ce qui vous est</w:t>
      </w:r>
      <w:r>
        <w:t xml:space="preserve"> </w:t>
      </w:r>
      <w:r>
        <w:t xml:space="preserve">arrivé avec « Pierre Dupont ».</w:t>
      </w:r>
    </w:p>
    <w:p>
      <w:pPr>
        <w:pStyle w:val="BodyText"/>
      </w:pPr>
      <w:r>
        <w:t xml:space="preserve">Votre choix :</w:t>
      </w:r>
    </w:p>
    <w:p>
      <w:pPr>
        <w:pStyle w:val="BodyText"/>
      </w:pPr>
      <w:r>
        <w:t xml:space="preserve">☐ On maintient le blocage</w:t>
      </w:r>
    </w:p>
    <w:p>
      <w:pPr>
        <w:pStyle w:val="BodyText"/>
      </w:pPr>
      <w:r>
        <w:t xml:space="preserve">☐ Simple avertissement, avec possibilité de passer outre et trace au dossier</w:t>
      </w:r>
    </w:p>
    <w:p>
      <w:pPr>
        <w:pStyle w:val="BodyText"/>
      </w:pPr>
      <w:r>
        <w:t xml:space="preserve">☐ Blocage sur les rachats, avertissement sur les ventes</w:t>
      </w:r>
    </w:p>
    <w:p>
      <w:pPr>
        <w:pStyle w:val="BodyText"/>
      </w:pPr>
      <w:r>
        <w:t xml:space="preserve">☐ Autre : …………………………………………………………..</w:t>
      </w:r>
    </w:p>
    <w:bookmarkEnd w:id="69"/>
    <w:bookmarkStart w:id="70" w:name="Xa5f64642ae6e94085fedcaa9b8860834d214b2e"/>
    <w:p>
      <w:pPr>
        <w:pStyle w:val="Heading2"/>
      </w:pPr>
      <w:r>
        <w:t xml:space="preserve">E2. La date de validité qui passe de 2031 à 2026</w:t>
      </w:r>
    </w:p>
    <w:p>
      <w:pPr>
        <w:pStyle w:val="BlockText"/>
      </w:pPr>
      <w:r>
        <w:t xml:space="preserve">« j’ai créé Pierre dupont et la date de validité de la cni est passée à 2026</w:t>
      </w:r>
      <w:r>
        <w:t xml:space="preserve"> </w:t>
      </w:r>
      <w:r>
        <w:t xml:space="preserve">alors que j’ai inscrit 2031, donc je ne peux pas faire la transaction »</w:t>
      </w:r>
    </w:p>
    <w:p>
      <w:pPr>
        <w:pStyle w:val="FirstParagraph"/>
      </w:pPr>
      <w:r>
        <w:t xml:space="preserve">Nous n’avons pas réussi à reproduire ce comportement. Nous avons en revanche</w:t>
      </w:r>
      <w:r>
        <w:t xml:space="preserve"> </w:t>
      </w:r>
      <w:r>
        <w:t xml:space="preserve">trouvé un décalage d’une journée dans l’enregistrement des dates, que nous</w:t>
      </w:r>
      <w:r>
        <w:t xml:space="preserve"> </w:t>
      </w:r>
      <w:r>
        <w:t xml:space="preserve">corrigeons.</w:t>
      </w:r>
      <w:r>
        <w:t xml:space="preserve"> </w:t>
      </w:r>
      <w:r>
        <w:rPr>
          <w:b/>
          <w:bCs/>
        </w:rPr>
        <w:t xml:space="preserve">Accepteriez-vous de refaire l’essai avec nous, en direct ?</w:t>
      </w:r>
      <w:r>
        <w:t xml:space="preserve"> </w:t>
      </w:r>
      <w:r>
        <w:t xml:space="preserve">Cinq</w:t>
      </w:r>
      <w:r>
        <w:t xml:space="preserve"> </w:t>
      </w:r>
      <w:r>
        <w:t xml:space="preserve">minutes suffisent, et cela nous évitera de chercher à l’aveugle.</w:t>
      </w:r>
    </w:p>
    <w:p>
      <w:pPr>
        <w:pStyle w:val="BodyText"/>
      </w:pPr>
      <w:r>
        <w:t xml:space="preserve">Votre réponse : ……………………………………………………..</w:t>
      </w:r>
    </w:p>
    <w:bookmarkEnd w:id="70"/>
    <w:bookmarkStart w:id="71" w:name="X917ea3da049846f896d158eafafc8f58649c67e"/>
    <w:p>
      <w:pPr>
        <w:pStyle w:val="Heading2"/>
      </w:pPr>
      <w:r>
        <w:t xml:space="preserve">E3. Quelle précision de poids vous convient ?</w:t>
      </w:r>
    </w:p>
    <w:p>
      <w:pPr>
        <w:pStyle w:val="BlockText"/>
      </w:pPr>
      <w:r>
        <w:t xml:space="preserve">« pour les poids, on peut aller de 10 en 10, on n’est pas aussi précis »</w:t>
      </w:r>
    </w:p>
    <w:p>
      <w:pPr>
        <w:pStyle w:val="FirstParagraph"/>
      </w:pPr>
      <w:r>
        <w:t xml:space="preserve">La saisie est aujourd’hui au centième de gramme. Nous n’avons pas bien compris</w:t>
      </w:r>
      <w:r>
        <w:t xml:space="preserve"> </w:t>
      </w:r>
      <w:r>
        <w:t xml:space="preserve">« de 10 en 10 ». Ce qui correspond à votre balance :</w:t>
      </w:r>
    </w:p>
    <w:p>
      <w:pPr>
        <w:pStyle w:val="BodyText"/>
      </w:pPr>
      <w:r>
        <w:t xml:space="preserve">☐ Au centième de gramme (12,34 g) — comme aujourd’hui</w:t>
      </w:r>
    </w:p>
    <w:p>
      <w:pPr>
        <w:pStyle w:val="BodyText"/>
      </w:pPr>
      <w:r>
        <w:t xml:space="preserve">☐ Au dixième de gramme (12,3 g)</w:t>
      </w:r>
    </w:p>
    <w:p>
      <w:pPr>
        <w:pStyle w:val="BodyText"/>
      </w:pPr>
      <w:r>
        <w:t xml:space="preserve">☐ Au gramme entier (12 g)</w:t>
      </w:r>
    </w:p>
    <w:p>
      <w:pPr>
        <w:pStyle w:val="BodyText"/>
      </w:pPr>
      <w:r>
        <w:t xml:space="preserve">☐ Autre : …………………………………………………………..</w:t>
      </w:r>
    </w:p>
    <w:bookmarkEnd w:id="71"/>
    <w:bookmarkStart w:id="72" w:name="e4.-le-document-ven-2026-004"/>
    <w:p>
      <w:pPr>
        <w:pStyle w:val="Heading2"/>
      </w:pPr>
      <w:r>
        <w:t xml:space="preserve">E4. Le document VEN 2026 004</w:t>
      </w:r>
    </w:p>
    <w:p>
      <w:pPr>
        <w:pStyle w:val="BlockText"/>
      </w:pPr>
      <w:r>
        <w:t xml:space="preserve">« document VEN 2026 004 c’est livré au client ou au fondeur »</w:t>
      </w:r>
    </w:p>
    <w:p>
      <w:pPr>
        <w:pStyle w:val="FirstParagraph"/>
      </w:pPr>
      <w:r>
        <w:t xml:space="preserve">Nous pouvons vérifier la pièce et vous répondre précisément. Dites-nous</w:t>
      </w:r>
      <w:r>
        <w:t xml:space="preserve"> </w:t>
      </w:r>
      <w:r>
        <w:t xml:space="preserve">simplement de quel envoi il s’agissait, ou nous regarderons ensemble à la</w:t>
      </w:r>
      <w:r>
        <w:t xml:space="preserve"> </w:t>
      </w:r>
      <w:r>
        <w:t xml:space="preserve">prochaine session.</w:t>
      </w:r>
    </w:p>
    <w:p>
      <w:pPr>
        <w:pStyle w:val="BodyText"/>
      </w:pPr>
      <w:r>
        <w:t xml:space="preserve">Votre réponse : ……………………………………………………..</w:t>
      </w:r>
    </w:p>
    <w:bookmarkEnd w:id="72"/>
    <w:bookmarkStart w:id="73" w:name="X000e6690c5b4bb805079320bd1d70ef6234e504"/>
    <w:p>
      <w:pPr>
        <w:pStyle w:val="Heading2"/>
      </w:pPr>
      <w:r>
        <w:t xml:space="preserve">E5. Un dépôt-vente que la déposante décide de vendre pour la fonte</w:t>
      </w:r>
    </w:p>
    <w:p>
      <w:pPr>
        <w:pStyle w:val="BlockText"/>
      </w:pPr>
      <w:r>
        <w:t xml:space="preserve">« LECAUCHOIS a besoin d’argent et préfère vendre un de ses bijoux en DV pour la</w:t>
      </w:r>
      <w:r>
        <w:t xml:space="preserve"> </w:t>
      </w:r>
      <w:r>
        <w:t xml:space="preserve">fonte. Et il y a de grandes chances qu’ensuite je le remette en vitrine pour une</w:t>
      </w:r>
      <w:r>
        <w:t xml:space="preserve"> </w:t>
      </w:r>
      <w:r>
        <w:t xml:space="preserve">vente directe. Quel est le processus ? Restitution puis rachat avec 48 heures ?</w:t>
      </w:r>
      <w:r>
        <w:t xml:space="preserve"> </w:t>
      </w:r>
      <w:r>
        <w:t xml:space="preserve">Ou pourrait-on le faire directement »</w:t>
      </w:r>
    </w:p>
    <w:p>
      <w:pPr>
        <w:pStyle w:val="FirstParagraph"/>
      </w:pPr>
      <w:r>
        <w:rPr>
          <w:b/>
          <w:bCs/>
        </w:rPr>
        <w:t xml:space="preserve">Notre recommandation :</w:t>
      </w:r>
      <w:r>
        <w:t xml:space="preserve"> </w:t>
      </w:r>
      <w:r>
        <w:t xml:space="preserve">restitution puis rachat. C’est le seul chemin qui solde</w:t>
      </w:r>
      <w:r>
        <w:t xml:space="preserve"> </w:t>
      </w:r>
      <w:r>
        <w:t xml:space="preserve">proprement le contrat de dépôt et qui fait courir la rétractation du rachat</w:t>
      </w:r>
      <w:r>
        <w:t xml:space="preserve"> </w:t>
      </w:r>
      <w:r>
        <w:t xml:space="preserve">comme la loi l’exige. Mais nous pouvons l’enchaîner en un seul geste, qui</w:t>
      </w:r>
      <w:r>
        <w:t xml:space="preserve"> </w:t>
      </w:r>
      <w:r>
        <w:t xml:space="preserve">produirait les deux documents d’un coup, pour que ce ne soit pas plus long pour</w:t>
      </w:r>
      <w:r>
        <w:t xml:space="preserve"> </w:t>
      </w:r>
      <w:r>
        <w:t xml:space="preserve">vous.</w:t>
      </w:r>
    </w:p>
    <w:p>
      <w:pPr>
        <w:pStyle w:val="BodyText"/>
      </w:pPr>
      <w:r>
        <w:t xml:space="preserve">☐ Restitution puis rachat, enchaînés en un seul geste (recommandé)</w:t>
      </w:r>
    </w:p>
    <w:p>
      <w:pPr>
        <w:pStyle w:val="BodyText"/>
      </w:pPr>
      <w:r>
        <w:t xml:space="preserve">☐ Bascule directe, sans restitution</w:t>
      </w:r>
    </w:p>
    <w:p>
      <w:pPr>
        <w:pStyle w:val="BodyText"/>
      </w:pPr>
      <w:r>
        <w:t xml:space="preserve">☐ Autre : …………………………………………………………..</w:t>
      </w:r>
    </w:p>
    <w:bookmarkEnd w:id="73"/>
    <w:bookmarkStart w:id="74" w:name="X7fb4753ea4e22b94b04b5fe6d2f13eb1310085f"/>
    <w:p>
      <w:pPr>
        <w:pStyle w:val="Heading2"/>
      </w:pPr>
      <w:r>
        <w:t xml:space="preserve">E6. Démarre-t-on la migration des dépôts-ventes et du stock ?</w:t>
      </w:r>
    </w:p>
    <w:p>
      <w:pPr>
        <w:pStyle w:val="BlockText"/>
      </w:pPr>
      <w:r>
        <w:t xml:space="preserve">« est il possible de commencer la migration dv et stock maintenant »</w:t>
      </w:r>
    </w:p>
    <w:p>
      <w:pPr>
        <w:pStyle w:val="FirstParagraph"/>
      </w:pPr>
      <w:r>
        <w:rPr>
          <w:b/>
          <w:bCs/>
        </w:rPr>
        <w:t xml:space="preserve">Notre recommandation :</w:t>
      </w:r>
      <w:r>
        <w:t xml:space="preserve"> </w:t>
      </w:r>
      <w:r>
        <w:t xml:space="preserve">attendre votre nomenclature de références (</w:t>
      </w:r>
      <w:r>
        <w:rPr>
          <w:b/>
          <w:bCs/>
        </w:rPr>
        <w:t xml:space="preserve">C1</w:t>
      </w:r>
      <w:r>
        <w:t xml:space="preserve">). Sans</w:t>
      </w:r>
      <w:r>
        <w:t xml:space="preserve"> </w:t>
      </w:r>
      <w:r>
        <w:t xml:space="preserve">elle, nous migrerons des données qu’il faudra reprendre intégralement ensuite.</w:t>
      </w:r>
      <w:r>
        <w:t xml:space="preserve"> </w:t>
      </w:r>
      <w:r>
        <w:t xml:space="preserve">En revanche, nous pouvons vous fournir dès maintenant les tableaux de collecte à</w:t>
      </w:r>
      <w:r>
        <w:t xml:space="preserve"> </w:t>
      </w:r>
      <w:r>
        <w:t xml:space="preserve">remplir, ce qui vous fera gagner le temps de saisie.</w:t>
      </w:r>
    </w:p>
    <w:p>
      <w:pPr>
        <w:pStyle w:val="BodyText"/>
      </w:pPr>
      <w:r>
        <w:t xml:space="preserve">☐ On attend la nomenclature (recommandé)</w:t>
      </w:r>
    </w:p>
    <w:p>
      <w:pPr>
        <w:pStyle w:val="BodyText"/>
      </w:pPr>
      <w:r>
        <w:t xml:space="preserve">☐ On démarre quand même</w:t>
      </w:r>
    </w:p>
    <w:p>
      <w:pPr>
        <w:pStyle w:val="BodyText"/>
      </w:pPr>
      <w:r>
        <w:t xml:space="preserve">☐ Envoyez-moi les tableaux de collecte tout de suite</w:t>
      </w:r>
    </w:p>
    <w:bookmarkEnd w:id="74"/>
    <w:bookmarkStart w:id="75" w:name="e7.-les-comptes-de-vos-salariés"/>
    <w:p>
      <w:pPr>
        <w:pStyle w:val="Heading2"/>
      </w:pPr>
      <w:r>
        <w:t xml:space="preserve">E7. Les comptes de vos salariés</w:t>
      </w:r>
    </w:p>
    <w:p>
      <w:pPr>
        <w:pStyle w:val="BlockText"/>
      </w:pPr>
      <w:r>
        <w:t xml:space="preserve">« j’ai failli sauter par la fenêtre avec les mails employés et je n’ai pas</w:t>
      </w:r>
      <w:r>
        <w:t xml:space="preserve"> </w:t>
      </w:r>
      <w:r>
        <w:t xml:space="preserve">réussi (ni à les créer, ni à sauter !) »</w:t>
      </w:r>
    </w:p>
    <w:p>
      <w:pPr>
        <w:pStyle w:val="FirstParagraph"/>
      </w:pPr>
      <w:r>
        <w:t xml:space="preserve">Nous n’avons pas trouvé de défaut évident dans la création des comptes. Mais au</w:t>
      </w:r>
      <w:r>
        <w:t xml:space="preserve"> </w:t>
      </w:r>
      <w:r>
        <w:t xml:space="preserve">vu du point</w:t>
      </w:r>
      <w:r>
        <w:t xml:space="preserve"> </w:t>
      </w:r>
      <w:r>
        <w:rPr>
          <w:b/>
          <w:bCs/>
        </w:rPr>
        <w:t xml:space="preserve">B2</w:t>
      </w:r>
      <w:r>
        <w:t xml:space="preserve">, l’invitation par e-mail ne partait très probablement pas —</w:t>
      </w:r>
      <w:r>
        <w:t xml:space="preserve"> </w:t>
      </w:r>
      <w:r>
        <w:t xml:space="preserve">donc vous avez créé des comptes qui n’ont jamais reçu leur lien. Refaisons-le</w:t>
      </w:r>
      <w:r>
        <w:t xml:space="preserve"> </w:t>
      </w:r>
      <w:r>
        <w:t xml:space="preserve">ensemble à la prochaine session, une fois les envois rétablis.</w:t>
      </w:r>
    </w:p>
    <w:p>
      <w:pPr>
        <w:pStyle w:val="BodyText"/>
      </w:pPr>
      <w:r>
        <w:t xml:space="preserve">Votre réponse : ……………………………………………………..</w:t>
      </w:r>
    </w:p>
    <w:bookmarkEnd w:id="75"/>
    <w:bookmarkEnd w:id="76"/>
    <w:bookmarkStart w:id="79" w:name="f.-ce-qui-fonctionnait-bien"/>
    <w:p>
      <w:pPr>
        <w:pStyle w:val="Heading1"/>
      </w:pPr>
      <w:r>
        <w:t xml:space="preserve">F. Ce qui fonctionnait bien</w:t>
      </w:r>
    </w:p>
    <w:bookmarkStart w:id="77" w:name="f1.-lor-dinvestissement-en-direct"/>
    <w:p>
      <w:pPr>
        <w:pStyle w:val="Heading2"/>
      </w:pPr>
      <w:r>
        <w:t xml:space="preserve">F1. L’or d’investissement en « Direct »</w:t>
      </w:r>
    </w:p>
    <w:p>
      <w:pPr>
        <w:pStyle w:val="BlockText"/>
      </w:pPr>
      <w:r>
        <w:t xml:space="preserve">« je n’ai pas eu à cocher direct, il me semble que ça c’est fait</w:t>
      </w:r>
      <w:r>
        <w:t xml:space="preserve"> </w:t>
      </w:r>
      <w:r>
        <w:t xml:space="preserve">automatiquement. De toutes façons il n’y a pas de rétractation sur l’or</w:t>
      </w:r>
      <w:r>
        <w:t xml:space="preserve"> </w:t>
      </w:r>
      <w:r>
        <w:t xml:space="preserve">investissement »</w:t>
      </w:r>
    </w:p>
    <w:p>
      <w:pPr>
        <w:pStyle w:val="FirstParagraph"/>
      </w:pPr>
      <w:r>
        <w:t xml:space="preserve">Vous avez raison sur les deux points. C’est notre script de recette qui était</w:t>
      </w:r>
      <w:r>
        <w:t xml:space="preserve"> </w:t>
      </w:r>
      <w:r>
        <w:t xml:space="preserve">faux, pas le logiciel. Nous le corrigeons.</w:t>
      </w:r>
    </w:p>
    <w:bookmarkEnd w:id="77"/>
    <w:bookmarkStart w:id="78" w:name="X4a5a0b5e7ee4b7951822bb6bbf5baf3c9f972f0"/>
    <w:p>
      <w:pPr>
        <w:pStyle w:val="Heading2"/>
      </w:pPr>
      <w:r>
        <w:t xml:space="preserve">F2. Les boutons que vous n’avez pas trouvés</w:t>
      </w:r>
    </w:p>
    <w:p>
      <w:pPr>
        <w:pStyle w:val="BlockText"/>
      </w:pPr>
      <w:r>
        <w:t xml:space="preserve">« je ne vois pas marqué livré » — « j’ai pas vu terminer la vente mais j’ai</w:t>
      </w:r>
      <w:r>
        <w:t xml:space="preserve"> </w:t>
      </w:r>
      <w:r>
        <w:t xml:space="preserve">finalisé » — « pas sûre d’avoir trouvé la bonne fiche » — « je ne vois pas</w:t>
      </w:r>
      <w:r>
        <w:t xml:space="preserve"> </w:t>
      </w:r>
      <w:r>
        <w:t xml:space="preserve">quelle fiche »</w:t>
      </w:r>
    </w:p>
    <w:p>
      <w:pPr>
        <w:pStyle w:val="FirstParagraph"/>
      </w:pPr>
      <w:r>
        <w:t xml:space="preserve">Ces boutons existent bel et bien, mais ils n’apparaissent qu’à certaines</w:t>
      </w:r>
      <w:r>
        <w:t xml:space="preserve"> </w:t>
      </w:r>
      <w:r>
        <w:t xml:space="preserve">conditions et sont répartis sur trois écrans différents. Votre conclusion —</w:t>
      </w:r>
      <w:r>
        <w:t xml:space="preserve"> </w:t>
      </w:r>
      <w:r>
        <w:t xml:space="preserve">« il faut aller dans plusieurs pages, c’est compliqué pour moi » — est le bon</w:t>
      </w:r>
      <w:r>
        <w:t xml:space="preserve"> </w:t>
      </w:r>
      <w:r>
        <w:t xml:space="preserve">diagnostic, et c’est celui que nous retenons. Nous regroupons les actions d’une</w:t>
      </w:r>
      <w:r>
        <w:t xml:space="preserve"> </w:t>
      </w:r>
      <w:r>
        <w:t xml:space="preserve">vente sur un seul écran.</w:t>
      </w:r>
    </w:p>
    <w:bookmarkEnd w:id="78"/>
    <w:bookmarkEnd w:id="79"/>
    <w:bookmarkStart w:id="80" w:name="g.-ce-quil-reste-à-faire"/>
    <w:p>
      <w:pPr>
        <w:pStyle w:val="Heading1"/>
      </w:pPr>
      <w:r>
        <w:t xml:space="preserve">G. Ce qu’il reste à faire</w:t>
      </w:r>
    </w:p>
    <w:p>
      <w:pPr>
        <w:pStyle w:val="FirstParagraph"/>
      </w:pPr>
      <w:r>
        <w:rPr>
          <w:b/>
          <w:bCs/>
        </w:rPr>
        <w:t xml:space="preserve">De notre côté</w:t>
      </w:r>
    </w:p>
    <w:p>
      <w:pPr>
        <w:pStyle w:val="Compact"/>
        <w:numPr>
          <w:ilvl w:val="0"/>
          <w:numId w:val="1002"/>
        </w:numPr>
      </w:pPr>
      <w:r>
        <w:t xml:space="preserve">Les parcours 23, 24 et 25 vous sont arrivés illisibles. C’est notre erreur ;</w:t>
      </w:r>
      <w:r>
        <w:t xml:space="preserve"> </w:t>
      </w:r>
      <w:r>
        <w:t xml:space="preserve">nous vous les renvoyons corrigés.</w:t>
      </w:r>
    </w:p>
    <w:p>
      <w:pPr>
        <w:pStyle w:val="Compact"/>
        <w:numPr>
          <w:ilvl w:val="0"/>
          <w:numId w:val="1002"/>
        </w:numPr>
      </w:pPr>
      <w:r>
        <w:t xml:space="preserve">Le rapport de fin ne s’est pas généré et ne nous est jamais parvenu. Corrigé.</w:t>
      </w:r>
    </w:p>
    <w:p>
      <w:pPr>
        <w:pStyle w:val="FirstParagraph"/>
      </w:pPr>
      <w:r>
        <w:rPr>
          <w:b/>
          <w:bCs/>
        </w:rPr>
        <w:t xml:space="preserve">De votre côté, quand vous voudrez</w:t>
      </w:r>
    </w:p>
    <w:p>
      <w:pPr>
        <w:pStyle w:val="Compact"/>
        <w:numPr>
          <w:ilvl w:val="0"/>
          <w:numId w:val="1003"/>
        </w:numPr>
      </w:pPr>
      <w:r>
        <w:t xml:space="preserve">Parcours 19 — suivi des bons et traitement des écarts</w:t>
      </w:r>
    </w:p>
    <w:p>
      <w:pPr>
        <w:pStyle w:val="Compact"/>
        <w:numPr>
          <w:ilvl w:val="0"/>
          <w:numId w:val="1003"/>
        </w:numPr>
      </w:pPr>
      <w:r>
        <w:t xml:space="preserve">Parcours 20 — envoi d’un bijou en réparation</w:t>
      </w:r>
    </w:p>
    <w:p>
      <w:pPr>
        <w:pStyle w:val="Compact"/>
        <w:numPr>
          <w:ilvl w:val="0"/>
          <w:numId w:val="1003"/>
        </w:numPr>
      </w:pPr>
      <w:r>
        <w:t xml:space="preserve">Parcours 23 — gestion de l’équipe et des droits</w:t>
      </w:r>
    </w:p>
    <w:p>
      <w:pPr>
        <w:pStyle w:val="Compact"/>
        <w:numPr>
          <w:ilvl w:val="0"/>
          <w:numId w:val="1003"/>
        </w:numPr>
      </w:pPr>
      <w:r>
        <w:t xml:space="preserve">Parcours 25 — confort d’usage au quotidien</w:t>
      </w:r>
    </w:p>
    <w:p>
      <w:pPr>
        <w:pStyle w:val="Compact"/>
        <w:numPr>
          <w:ilvl w:val="0"/>
          <w:numId w:val="1003"/>
        </w:numPr>
      </w:pPr>
      <w:r>
        <w:t xml:space="preserve">La relecture des documents commerciaux imprimés, que vous aviez commencée</w:t>
      </w:r>
    </w:p>
    <w:p>
      <w:pPr>
        <w:pStyle w:val="FirstParagraph"/>
      </w:pPr>
      <w:r>
        <w:rPr>
          <w:b/>
          <w:bCs/>
        </w:rPr>
        <w:t xml:space="preserve">Ce que nous attendons de vous</w:t>
      </w:r>
    </w:p>
    <w:p>
      <w:pPr>
        <w:pStyle w:val="Compact"/>
        <w:numPr>
          <w:ilvl w:val="0"/>
          <w:numId w:val="1004"/>
        </w:numPr>
      </w:pPr>
      <w:r>
        <w:t xml:space="preserve">Votre nomenclature de références (point</w:t>
      </w:r>
      <w:r>
        <w:t xml:space="preserve"> </w:t>
      </w:r>
      <w:r>
        <w:rPr>
          <w:b/>
          <w:bCs/>
        </w:rPr>
        <w:t xml:space="preserve">C1</w:t>
      </w:r>
      <w:r>
        <w:t xml:space="preserve">) — c’est ce qui débloque le</w:t>
      </w:r>
      <w:r>
        <w:t xml:space="preserve"> </w:t>
      </w:r>
      <w:r>
        <w:t xml:space="preserve">plus grand nombre de sujets.</w:t>
      </w:r>
    </w:p>
    <w:p>
      <w:pPr>
        <w:pStyle w:val="Compact"/>
        <w:numPr>
          <w:ilvl w:val="0"/>
          <w:numId w:val="1004"/>
        </w:numPr>
      </w:pPr>
      <w:r>
        <w:t xml:space="preserve">Votre modèle de feuille de caisse (</w:t>
      </w:r>
      <w:r>
        <w:rPr>
          <w:b/>
          <w:bCs/>
        </w:rPr>
        <w:t xml:space="preserve">C3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Votre tableau d’affichage des prix achat et vente (</w:t>
      </w:r>
      <w:r>
        <w:rPr>
          <w:b/>
          <w:bCs/>
        </w:rPr>
        <w:t xml:space="preserve">C11</w:t>
      </w:r>
      <w:r>
        <w:t xml:space="preserve">) — vous nous</w:t>
      </w:r>
      <w:r>
        <w:t xml:space="preserve"> </w:t>
      </w:r>
      <w:r>
        <w:t xml:space="preserve">l’aviez donné, nous ne le retrouvons pas, toutes nos excuses.</w:t>
      </w:r>
    </w:p>
    <w:p>
      <w:pPr>
        <w:pStyle w:val="Compact"/>
        <w:numPr>
          <w:ilvl w:val="0"/>
          <w:numId w:val="1004"/>
        </w:numPr>
      </w:pPr>
      <w:r>
        <w:t xml:space="preserve">Ce document, annoté.</w:t>
      </w:r>
    </w:p>
    <w:p>
      <w:pPr>
        <w:pStyle w:val="FirstParagraph"/>
      </w:pPr>
      <w:r>
        <w:rPr>
          <w:i/>
          <w:iCs/>
        </w:rPr>
        <w:t xml:space="preserve">Merci encore pour le sérieux de cette relecture. Elle nous a fait gagner</w:t>
      </w:r>
      <w:r>
        <w:rPr>
          <w:i/>
          <w:iCs/>
        </w:rPr>
        <w:t xml:space="preserve"> </w:t>
      </w:r>
      <w:r>
        <w:rPr>
          <w:i/>
          <w:iCs/>
        </w:rPr>
        <w:t xml:space="preserve">plusieurs semaines.</w:t>
      </w:r>
    </w:p>
    <w:bookmarkEnd w:id="80"/>
    <w:sectPr>
      <w:pgSz w:w="11906" w:h="16838"/>
      <w:pgMar w:top="1300" w:right="1480" w:bottom="1300" w:left="1480" w:header="700" w:footer="600" w:gutter="0"/>
      <w:footerReference r:id="rIdFtr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6" w:space="8" w:color="C9CFC2"/>
      </w:pBdr>
      <w:rPr>
        <w:rFonts w:ascii="Georgia" w:hAnsi="Georgia"/>
        <w:color w:val="5A6472"/>
        <w:sz w:val="16"/>
      </w:rPr>
    </w:pPr>
    <w:r>
      <w:rPr>
        <w:rFonts w:ascii="Georgia" w:hAnsi="Georgia"/>
        <w:color w:val="5A6472"/>
        <w:sz w:val="16"/>
      </w:rPr>
      <w:t xml:space="preserve">Or au Juste Prix — vos retours de recette — </w:t>
    </w:r>
    <w:r>
      <w:fldChar w:fldCharType="begin"/>
    </w:r>
    <w:r>
      <w:instrText xml:space="preserve">PAGE</w:instrText>
    </w:r>
    <w:r>
      <w:fldChar w:fldCharType="separate"/>
    </w:r>
    <w:r>
      <w:rPr>
        <w:rFonts w:ascii="Georgia" w:hAnsi="Georgia"/>
        <w:color w:val="5A6472"/>
        <w:sz w:val="1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288" w:lineRule="auto"/>
      <w:jc w:val="left"/>
    </w:pPr>
    <w:rPr>
      <w:rFonts w:ascii="Georgia" w:cs="Georgia" w:eastAsia="Georgia" w:hAnsi="Georgia"/>
      <w:color w:val="1C2530"/>
      <w:sz w:val="22"/>
      <w:szCs w:val="22"/>
    </w:rPr>
  </w:style>
  <w:style w:styleId="BodyText" w:type="paragraph">
    <w:name w:val="Body Text"/>
    <w:basedOn w:val="Normal"/>
    <w:next w:val="BodyText"/>
    <w:qFormat/>
    <w:pPr>
      <w:spacing w:after="140" w:before="0"/>
    </w:pPr>
    <w:rPr/>
  </w:style>
  <w:style w:styleId="FirstParagraph" w:type="paragraph">
    <w:name w:val="First Paragraph"/>
    <w:basedOn w:val="BodyText"/>
    <w:next w:val="BodyText"/>
    <w:qFormat/>
    <w:pPr/>
    <w:rPr/>
  </w:style>
  <w:style w:styleId="Compact" w:type="paragraph">
    <w:name w:val="Compact"/>
    <w:basedOn w:val="Normal"/>
    <w:qFormat/>
    <w:pPr>
      <w:spacing w:after="60" w:before="0"/>
    </w:pPr>
    <w:rPr/>
  </w:style>
  <w:style w:styleId="Title" w:type="paragraph">
    <w:name w:val="Title"/>
    <w:basedOn w:val="Normal"/>
    <w:next w:val="BodyText"/>
    <w:qFormat/>
    <w:pPr>
      <w:spacing w:after="60" w:before="0" w:line="240" w:lineRule="auto"/>
      <w:jc w:val="left"/>
      <w:contextualSpacing/>
    </w:pPr>
    <w:rPr>
      <w:rFonts w:ascii="Georgia" w:cs="Georgia" w:eastAsia="Georgia" w:hAnsi="Georgia"/>
      <w:b/>
      <w:color w:val="1C2530"/>
      <w:sz w:val="46"/>
      <w:szCs w:val="46"/>
      <w:spacing w:val="-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spacing w:after="40" w:before="0" w:line="240" w:lineRule="auto"/>
      <w:jc w:val="left"/>
      <w:contextualSpacing/>
    </w:pPr>
    <w:rPr>
      <w:rFonts w:ascii="Georgia" w:cs="Georgia" w:eastAsia="Georgia" w:hAnsi="Georgia"/>
      <w:color w:val="5A6472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Normal"/>
    <w:next w:val="BodyText"/>
    <w:qFormat/>
    <w:pPr>
      <w:spacing w:after="480" w:before="0" w:line="240" w:lineRule="auto"/>
      <w:jc w:val="left"/>
      <w:pBdr>
        <w:bottom w:color="C9CFC2" w:space="8" w:sz="6" w:val="single"/>
      </w:pBdr>
    </w:pPr>
    <w:rPr>
      <w:rFonts w:ascii="Georgia" w:cs="Georgia" w:eastAsia="Georgia" w:hAnsi="Georgia"/>
      <w:caps/>
      <w:color w:val="5A6472"/>
      <w:sz w:val="17"/>
      <w:szCs w:val="17"/>
      <w:spacing w:val="3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keepLines/>
      <w:pageBreakBefore/>
      <w:spacing w:after="200" w:before="0"/>
      <w:jc w:val="left"/>
      <w:outlineLvl w:val="0"/>
      <w:pBdr>
        <w:bottom w:color="B3402C" w:space="6" w:sz="12" w:val="single"/>
      </w:pBdr>
    </w:pPr>
    <w:rPr>
      <w:rFonts w:ascii="Georgia" w:cs="Georgia" w:eastAsia="Georgia" w:hAnsi="Georgia"/>
      <w:b/>
      <w:color w:val="B3402C"/>
      <w:sz w:val="32"/>
      <w:szCs w:val="32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360"/>
      <w:jc w:val="left"/>
      <w:outlineLvl w:val="1"/>
    </w:pPr>
    <w:rPr>
      <w:rFonts w:ascii="Georgia" w:cs="Georgia" w:eastAsia="Georgia" w:hAnsi="Georgia"/>
      <w:b/>
      <w:color w:val="1C2530"/>
      <w:sz w:val="25"/>
      <w:szCs w:val="25"/>
    </w:rPr>
  </w:style>
  <w:style w:styleId="Heading3" w:type="paragraph">
    <w:name w:val="heading 3"/>
    <w:basedOn w:val="Normal"/>
    <w:next w:val="BodyText"/>
    <w:qFormat/>
    <w:pPr>
      <w:keepNext/>
      <w:keepLines/>
      <w:spacing w:after="80" w:before="240"/>
      <w:jc w:val="left"/>
      <w:outlineLvl w:val="2"/>
    </w:pPr>
    <w:rPr>
      <w:rFonts w:ascii="Georgia" w:cs="Georgia" w:eastAsia="Georgia" w:hAnsi="Georgia"/>
      <w:b/>
      <w:color w:val="5A6472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next w:val="BodyText"/>
    <w:qFormat/>
    <w:pPr>
      <w:spacing w:after="160" w:before="120" w:line="264" w:lineRule="auto"/>
      <w:ind w:firstLine="0" w:left="340" w:right="0"/>
      <w:jc w:val="left"/>
      <w:pBdr>
        <w:left w:color="B3402C" w:space="14" w:sz="18" w:val="single"/>
      </w:pBdr>
    </w:pPr>
    <w:rPr>
      <w:rFonts w:ascii="Georgia" w:cs="Georgia" w:eastAsia="Georgia" w:hAnsi="Georgia"/>
      <w:i/>
      <w:color w:val="5A6472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next w:val="BodyText"/>
    <w:qFormat/>
    <w:pPr>
      <w:keepNext/>
      <w:spacing w:after="200" w:before="0"/>
      <w:jc w:val="left"/>
    </w:pPr>
    <w:rPr>
      <w:rFonts w:ascii="Georgia" w:cs="Georgia" w:eastAsia="Georgia" w:hAnsi="Georgia"/>
      <w:b/>
      <w:caps/>
      <w:color w:val="5A6472"/>
      <w:sz w:val="19"/>
      <w:szCs w:val="19"/>
      <w:spacing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Vos retours de recette</dc:title>
  <dc:creator/>
  <dc:language>fr-FR</dc:language>
  <cp:keywords/>
  <dcterms:created xsi:type="dcterms:W3CDTF">2026-08-20T05:23:54Z</dcterms:created>
  <dcterms:modified xsi:type="dcterms:W3CDTF">2026-08-20T05:23:54Z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août 2026</vt:lpwstr>
  </property>
  <property fmtid="{D5CDD505-2E9C-101B-9397-08002B2CF9AE}" pid="3" name="subtitle">
    <vt:lpwstr>Or au Juste Prix — relecture et vérifications</vt:lpwstr>
  </property>
</Properties>
</file>