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3.血管健康预测模型研究方案（2024.11.14）</w:t>
      </w:r>
    </w:p>
    <w:p>
      <w:pPr>
        <w:spacing w:before="120" w:after="120" w:line="288" w:lineRule="auto"/>
        <w:ind w:left="0" w:firstLine="420"/>
        <w:jc w:val="left"/>
      </w:pPr>
    </w:p>
    <w:p>
      <w:pPr>
        <w:spacing w:before="120" w:after="120" w:line="288" w:lineRule="auto"/>
        <w:ind w:left="0" w:firstLine="420"/>
        <w:jc w:val="left"/>
      </w:pPr>
    </w:p>
    <w:p>
      <w:pPr>
        <w:spacing w:before="120" w:after="120" w:line="288" w:lineRule="auto"/>
        <w:ind w:left="0" w:firstLine="420"/>
        <w:jc w:val="left"/>
      </w:pPr>
    </w:p>
    <w:p>
      <w:pPr>
        <w:spacing w:before="120" w:after="120" w:line="288" w:lineRule="auto"/>
        <w:ind w:left="0" w:firstLine="420"/>
        <w:jc w:val="left"/>
      </w:pPr>
    </w:p>
    <w:p>
      <w:pPr>
        <w:spacing w:before="120" w:after="120" w:line="288" w:lineRule="auto"/>
        <w:ind w:left="0" w:firstLine="0"/>
        <w:jc w:val="center"/>
      </w:pPr>
      <w:r>
        <w:rPr>
          <w:rFonts w:eastAsia="等线" w:ascii="Arial" w:cs="Arial" w:hAnsi="Arial"/>
          <w:sz w:val="22"/>
        </w:rPr>
        <w:t>基于小米可穿戴设备的多模态数据融合在动脉硬化筛查与脑卒中预测模型的应用研究</w:t>
      </w:r>
    </w:p>
    <w:p>
      <w:pPr>
        <w:spacing w:before="120" w:after="120" w:line="288" w:lineRule="auto"/>
        <w:ind w:left="0" w:firstLine="42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本单位课题负责人：张韬</w:t>
            </w:r>
          </w:p>
        </w:tc>
      </w:tr>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科室：血管外科</w:t>
            </w:r>
          </w:p>
        </w:tc>
      </w:tr>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版本号：1.0</w:t>
            </w:r>
          </w:p>
        </w:tc>
      </w:tr>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版本日期：20241101</w:t>
            </w:r>
          </w:p>
        </w:tc>
      </w:tr>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联系人：王永慧</w:t>
            </w:r>
          </w:p>
        </w:tc>
      </w:tr>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联系电话：13847925453</w:t>
            </w:r>
          </w:p>
        </w:tc>
      </w:tr>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本单位课题负责人签字：</w:t>
            </w:r>
          </w:p>
        </w:tc>
      </w:tr>
    </w:tbl>
    <w:p>
      <w:pPr>
        <w:spacing w:before="120" w:after="120" w:line="288" w:lineRule="auto"/>
        <w:ind w:left="0" w:firstLine="420"/>
        <w:jc w:val="left"/>
      </w:pPr>
    </w:p>
    <w:p>
      <w:pPr>
        <w:spacing w:before="120" w:after="120" w:line="288" w:lineRule="auto"/>
        <w:ind w:left="0" w:firstLine="420"/>
        <w:jc w:val="left"/>
      </w:pPr>
    </w:p>
    <w:p>
      <w:pPr>
        <w:pBdr>
          <w:bottom w:val="single" w:color="dee0e3"/>
          <w:between w:val="single" w:color="dee0e3"/>
        </w:pBdr>
        <w:spacing w:before="120" w:after="120" w:line="288" w:lineRule="auto"/>
        <w:ind w:left="0"/>
      </w:pPr>
    </w:p>
    <w:p>
      <w:pPr>
        <w:pStyle w:val="1"/>
        <w:spacing w:before="380" w:after="140" w:line="288" w:lineRule="auto"/>
        <w:ind w:left="0"/>
        <w:jc w:val="center"/>
        <w:outlineLvl w:val="0"/>
      </w:pPr>
      <w:bookmarkStart w:name="heading_0" w:id="0"/>
      <w:r>
        <w:rPr>
          <w:rFonts w:eastAsia="等线" w:ascii="Arial" w:cs="Arial" w:hAnsi="Arial"/>
          <w:b w:val="true"/>
          <w:sz w:val="36"/>
        </w:rPr>
        <w:t>研究人员列表</w:t>
      </w:r>
      <w:bookmarkEnd w:id="0"/>
    </w:p>
    <w:p>
      <w:pPr>
        <w:spacing w:before="120" w:after="120" w:line="288" w:lineRule="auto"/>
        <w:ind w:left="0" w:firstLine="42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960"/>
        <w:gridCol w:w="3450"/>
        <w:gridCol w:w="1515"/>
        <w:gridCol w:w="2355"/>
      </w:tblGrid>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姓名</w:t>
            </w:r>
          </w:p>
        </w:tc>
        <w:tc>
          <w:tcPr>
            <w:tcW w:w="345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单位/科室</w:t>
            </w:r>
          </w:p>
        </w:tc>
        <w:tc>
          <w:tcPr>
            <w:tcW w:w="151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职务/职称</w:t>
            </w:r>
          </w:p>
        </w:tc>
        <w:tc>
          <w:tcPr>
            <w:tcW w:w="235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分工</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张韬</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北京大学人民医院/血管外科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主任医师</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方案设计</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张学民</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北京大学人民医院/血管外科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主任医师</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方案指导</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宋俊贤</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北京大学人民医院/心血管内科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副主任医师</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方案实施与数据分析</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李伟浩</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北京大学人民医院/血管外科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副主任医师</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方案实施与数据分析</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张椿英</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北京大学人民医院/心血管内科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主治医师</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方案实施与数据分析</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方舒</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北京大学人民医院/心血管内科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主治医师</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方案实施与数据分析</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王永慧</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北京大学人民医院/血管外科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博士研究生</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方案实施与数据分析</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周应乾</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北京大学人民医院/血管外科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博士研究生</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方案实施与数据分析</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梁国锐</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北京大学人民医院/血管外科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硕士研究生</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方案实施与数据分析</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孙爽</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北京大学人民医院/心血管内科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硕士研究生</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方案实施与数据分析</w:t>
            </w:r>
          </w:p>
        </w:tc>
      </w:tr>
      <w:tr>
        <w:tc>
          <w:tcPr>
            <w:tcW w:w="96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杨乾</w:t>
            </w:r>
          </w:p>
        </w:tc>
        <w:tc>
          <w:tcPr>
            <w:tcW w:w="34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北京大学人民医院/血管外科</w:t>
            </w:r>
          </w:p>
        </w:tc>
        <w:tc>
          <w:tcPr>
            <w:tcW w:w="15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本科生</w:t>
            </w:r>
          </w:p>
        </w:tc>
        <w:tc>
          <w:tcPr>
            <w:tcW w:w="235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方案实施与数据分析</w:t>
            </w:r>
          </w:p>
        </w:tc>
      </w:tr>
    </w:tbl>
    <w:p>
      <w:pPr>
        <w:spacing w:before="120" w:after="120" w:line="288" w:lineRule="auto"/>
        <w:ind w:left="0" w:firstLine="420"/>
        <w:jc w:val="left"/>
      </w:pPr>
    </w:p>
    <w:p>
      <w:pPr>
        <w:pBdr>
          <w:bottom w:val="single" w:color="dee0e3"/>
          <w:between w:val="single" w:color="dee0e3"/>
        </w:pBdr>
        <w:spacing w:before="120" w:after="120" w:line="288" w:lineRule="auto"/>
        <w:ind w:left="0"/>
      </w:pPr>
    </w:p>
    <w:p>
      <w:pPr>
        <w:pStyle w:val="1"/>
        <w:spacing w:before="380" w:after="140" w:line="288" w:lineRule="auto"/>
        <w:ind w:left="0"/>
        <w:jc w:val="left"/>
        <w:outlineLvl w:val="0"/>
      </w:pPr>
      <w:bookmarkStart w:name="heading_1" w:id="1"/>
      <w:r>
        <w:rPr>
          <w:rFonts w:eastAsia="等线" w:ascii="Arial" w:cs="Arial" w:hAnsi="Arial"/>
          <w:b w:val="true"/>
          <w:sz w:val="36"/>
        </w:rPr>
        <w:t>一、研究摘要</w:t>
      </w:r>
      <w:bookmarkEnd w:id="1"/>
    </w:p>
    <w:p>
      <w:pPr>
        <w:spacing w:before="120" w:after="120" w:line="288" w:lineRule="auto"/>
        <w:ind w:left="0" w:firstLine="420"/>
        <w:jc w:val="left"/>
      </w:pPr>
      <w:r>
        <w:rPr>
          <w:rFonts w:eastAsia="等线" w:ascii="Arial" w:cs="Arial" w:hAnsi="Arial"/>
          <w:sz w:val="22"/>
        </w:rPr>
        <w:t>本研究旨在开发一项基于小米可穿戴设备的周围血管硬化预测模型。第一部分为回顾性研究，利用小米手表采集200例样本的脉搏波传导速度（PWV）和心电图（ECG）数据，对轻、中、重度动脉硬化患者及正常人进行动脉硬化风险筛查和早期预警。第二部分基于第一部分的筛查结果，结合小米耳机的脑氧监测数据，分析脑氧变化与脑卒中发生的关系，进一步预测脑卒中风险。研究将通过机器学习算法进行多模态数据特征提取与模型构建，使用交叉验证评估模型性能。结果表明，分阶段结合PPG、ECG和脑氧数据的AI模型在动脉硬化筛查和脑卒中风险预测中均表现出较高的准确性。研究结论是，该模型可显著提高周围血管疾病和脑卒中的早期筛查与预警能力，基于此模型开发的可穿戴设备可以作为评估周围血管硬化程度的一种方式，其预警结果可能预示周围血管硬化及脑卒中的发生。</w:t>
      </w:r>
    </w:p>
    <w:p>
      <w:pPr>
        <w:pStyle w:val="1"/>
        <w:spacing w:before="380" w:after="140" w:line="288" w:lineRule="auto"/>
        <w:ind w:left="0"/>
        <w:jc w:val="left"/>
        <w:outlineLvl w:val="0"/>
      </w:pPr>
      <w:bookmarkStart w:name="heading_2" w:id="2"/>
      <w:r>
        <w:rPr>
          <w:rFonts w:eastAsia="等线" w:ascii="Arial" w:cs="Arial" w:hAnsi="Arial"/>
          <w:b w:val="true"/>
          <w:sz w:val="36"/>
        </w:rPr>
        <w:t>二、研究背景以及立项依据</w:t>
      </w:r>
      <w:bookmarkEnd w:id="2"/>
    </w:p>
    <w:p>
      <w:pPr>
        <w:spacing w:before="120" w:after="120" w:line="288" w:lineRule="auto"/>
        <w:ind w:left="0" w:firstLine="420"/>
        <w:jc w:val="left"/>
      </w:pPr>
      <w:r>
        <w:rPr>
          <w:rFonts w:eastAsia="等线" w:ascii="Arial" w:cs="Arial" w:hAnsi="Arial"/>
          <w:sz w:val="22"/>
        </w:rPr>
        <w:t>周围血管疾病（Peripheral Vascular Diseases, PVD）是全球范围内常见的心血管疾病，主要包括动脉硬化、静脉血栓、脑卒中等多种病理状态。这些疾病的发生率随年龄增长显著上升，已成为老龄化社会的重要公共健康问题。动脉硬化作为PVD的主要病理基础之一，与多种心脑血管事件（如心肌梗死、脑卒中）的发生密切相关。早期发现和干预动脉硬化风险人群，对于预防严重心血管事件的发生具有重要意义。然而，目前临床上对动脉硬化的早期筛查与诊断手段相对有限，主要依赖于昂贵且对患者要求较高的影像学检查，如超声、CT等[1]。这些传统方法虽然具有较高的敏感性和特异性，但其使用的普遍性受到成本和技术门槛的限制。因此，开发一种低成本、无创且便携的筛查方法，具有重要的临床和公共卫生意义。</w:t>
      </w:r>
    </w:p>
    <w:p>
      <w:pPr>
        <w:spacing w:before="120" w:after="120" w:line="288" w:lineRule="auto"/>
        <w:ind w:left="0" w:firstLine="420"/>
        <w:jc w:val="left"/>
      </w:pPr>
      <w:r>
        <w:rPr>
          <w:rFonts w:eastAsia="等线" w:ascii="Arial" w:cs="Arial" w:hAnsi="Arial"/>
          <w:sz w:val="22"/>
        </w:rPr>
        <w:t>脑卒中是动脉硬化导致的最严重的心血管事件之一，其病死率和致残率均居高不下，尤其是缺血性脑卒中，其病理机制与动脉硬化密切相关。脑卒中的早期预警与预防依赖于对高危人群的识别，而现有的脑卒中风险预测模型多基于传统的临床因素，如年龄、高血压、糖尿病、吸烟等，但这些模型的准确性在特定人群中存在局限性。近年来，脑氧饱和度（Cerebral Oxygen Saturation, ScO2）作为一种反映脑部血流灌注状态的重要生理参数，受到越来越多的关注。研究表明，脑氧饱和度的降低与脑卒中发生的风险显著相关[2]。因此，结合脑氧监测数据，有望提高脑卒中风险预测模型的准确性和实用性。</w:t>
      </w:r>
    </w:p>
    <w:p>
      <w:pPr>
        <w:spacing w:before="120" w:after="120" w:line="288" w:lineRule="auto"/>
        <w:ind w:left="0" w:firstLine="420"/>
        <w:jc w:val="left"/>
      </w:pPr>
      <w:r>
        <w:rPr>
          <w:rFonts w:eastAsia="等线" w:ascii="Arial" w:cs="Arial" w:hAnsi="Arial"/>
          <w:sz w:val="22"/>
        </w:rPr>
        <w:t>预测模型的建立与验证在医学研究中具有重要的应用价值，尤其是在疾病的早期诊断与预后评估方面。随着机器学习和人工智能技术的发展，多因素预测模型在医学领域中的应用逐渐普及。这些模型可以结合多种临床和生物标志物，通过复杂的算法分析大量数据，识别影响疾病发生与发展的关键因素，从而为临床决策提供支持。</w:t>
      </w:r>
    </w:p>
    <w:p>
      <w:pPr>
        <w:spacing w:before="120" w:after="120" w:line="288" w:lineRule="auto"/>
        <w:ind w:left="0" w:firstLine="420"/>
        <w:jc w:val="left"/>
      </w:pPr>
      <w:r>
        <w:rPr>
          <w:rFonts w:eastAsia="等线" w:ascii="Arial" w:cs="Arial" w:hAnsi="Arial"/>
          <w:sz w:val="22"/>
        </w:rPr>
        <w:t>在动脉硬化的筛查与早期预警方面，目前已有一些基于血压、血脂、糖代谢等传统生物标志物的预测模型，如Framingham风险评分和ASCVD风险评分[3]。然而，这些传统模型主要基于人口学和传统心血管危险因素，缺乏对新型生物标志物的考虑[4]，如脉搏波传导速度（Pulse Wave Velocity, PWV）等。PWV是评价动脉硬化程度的重要指标，已经被广泛应用于动脉硬化的研究中。研究表明，PWV与动脉硬化的发生和进展具有显著相关性。然而，由于PWV测量设备的高成本和复杂性，其在大规模筛查中的应用受到限制。因此，利用小米手表等可穿戴设备采集光电容积描记法（Photoplethysmography, PPG）数据，以计算PWV并筛查动脉硬化风险，具有重要的研究价值。</w:t>
      </w:r>
    </w:p>
    <w:p>
      <w:pPr>
        <w:spacing w:before="120" w:after="120" w:line="288" w:lineRule="auto"/>
        <w:ind w:left="0" w:firstLine="420"/>
        <w:jc w:val="left"/>
      </w:pPr>
      <w:r>
        <w:rPr>
          <w:rFonts w:eastAsia="等线" w:ascii="Arial" w:cs="Arial" w:hAnsi="Arial"/>
          <w:sz w:val="22"/>
        </w:rPr>
        <w:t>在脑卒中风险预测方面，现有的模型多基于临床特征，如CHA2DS2-VASc评分[5]等，这些模型虽然在预测房颤相关的脑卒中风险方面表现良好，但在其他类型的脑卒中风险预测中，仍有提升的空间。近年来，脑氧饱和度作为一种反映脑部血流状态的动态生理指标，被逐渐应用于脑卒中的研究中。通过小米耳机等可穿戴设备实时监测脑氧变化，结合心电图（ECG）、脉搏波（PPG）等多模态数据，有望开发出一种更为精准的脑卒中风险预测模型。</w:t>
      </w:r>
    </w:p>
    <w:p>
      <w:pPr>
        <w:spacing w:before="120" w:after="120" w:line="288" w:lineRule="auto"/>
        <w:ind w:left="0" w:firstLine="420"/>
        <w:jc w:val="left"/>
      </w:pPr>
      <w:r>
        <w:rPr>
          <w:rFonts w:eastAsia="等线" w:ascii="Arial" w:cs="Arial" w:hAnsi="Arial"/>
          <w:sz w:val="22"/>
        </w:rPr>
        <w:t>基于上述医学背景和多因素预测模型的研究进展，本研究提出了利用小米可穿戴设备进行周围血管疾病筛查与脑卒中风险预测的研究方案。研究分为两部分：第一部分利用小米手表采集PPG和ECG数据，通过分析脉搏波传导速度等指标，对动脉硬化风险进行早期筛查和预警；第二部分基于第一部分的结果，结合小米耳机的脑氧监测数据，分析脑氧变化与脑卒中发生的关系，进一步预测脑卒中风险。</w:t>
      </w:r>
    </w:p>
    <w:p>
      <w:pPr>
        <w:spacing w:before="120" w:after="120" w:line="288" w:lineRule="auto"/>
        <w:ind w:left="0" w:firstLine="420"/>
        <w:jc w:val="left"/>
      </w:pPr>
      <w:r>
        <w:rPr>
          <w:rFonts w:eastAsia="等线" w:ascii="Arial" w:cs="Arial" w:hAnsi="Arial"/>
          <w:sz w:val="22"/>
        </w:rPr>
        <w:t>与现有的动脉硬化和脑卒中预测模型相比，本研究的创新点在于：通过可穿戴设备进行无创数据采集，降低了筛查成本，提高了便捷性和可操作性；结合PPG、ECG和脑氧数据，利用机器学习算法开发多因素预测模型，有望提高预测的准确性和鲁棒性；利用可穿戴设备的实时监测功能，实现对高危人群的动态评估和早期预警，及时干预，预防严重心脑血管事件的发生。有助于推动心脑血管疾病的早期预防和精准医疗的发展。通过对模型的开发和验证，研究成果有望在临床中得到广泛应用，造福更多患者。</w:t>
      </w:r>
    </w:p>
    <w:p>
      <w:pPr>
        <w:pStyle w:val="1"/>
        <w:spacing w:before="380" w:after="140" w:line="288" w:lineRule="auto"/>
        <w:ind w:left="0"/>
        <w:jc w:val="left"/>
        <w:outlineLvl w:val="0"/>
      </w:pPr>
      <w:bookmarkStart w:name="heading_3" w:id="3"/>
      <w:r>
        <w:rPr>
          <w:rFonts w:eastAsia="等线" w:ascii="Arial" w:cs="Arial" w:hAnsi="Arial"/>
          <w:b w:val="true"/>
          <w:sz w:val="36"/>
        </w:rPr>
        <w:t>三、研究目的</w:t>
      </w:r>
      <w:bookmarkEnd w:id="3"/>
    </w:p>
    <w:p>
      <w:pPr>
        <w:spacing w:before="120" w:after="120" w:line="288" w:lineRule="auto"/>
        <w:ind w:left="0" w:firstLine="420"/>
        <w:jc w:val="left"/>
      </w:pPr>
      <w:r>
        <w:rPr>
          <w:rFonts w:eastAsia="等线" w:ascii="Arial" w:cs="Arial" w:hAnsi="Arial"/>
          <w:sz w:val="22"/>
        </w:rPr>
        <w:t>开发并验证基于小米可穿戴设备的数据融合预测模型，旨在改进动脉硬化的早期筛查和脑卒中的风险预测。通过整合PWV和心电图（Electrocardiogram, ECG）数据，本研究首先预测动脉硬化的风险，随后结合脑氧监测数据，进一步预测脑卒中的发生风险。研究主要适用于具有动脉硬化或脑卒中高危因素的成年人群。本研究既包括模型的开发，也涉及对模型的验证，确保其在不同人群中的适用性和预测准确性，从而为临床提供一种低成本、无创且便捷的心脑血管疾病预防工具。</w:t>
      </w:r>
    </w:p>
    <w:p>
      <w:pPr>
        <w:pStyle w:val="1"/>
        <w:spacing w:before="380" w:after="140" w:line="288" w:lineRule="auto"/>
        <w:ind w:left="0"/>
        <w:jc w:val="left"/>
        <w:outlineLvl w:val="0"/>
      </w:pPr>
      <w:bookmarkStart w:name="heading_4" w:id="4"/>
      <w:r>
        <w:rPr>
          <w:rFonts w:eastAsia="等线" w:ascii="Arial" w:cs="Arial" w:hAnsi="Arial"/>
          <w:b w:val="true"/>
          <w:sz w:val="36"/>
        </w:rPr>
        <w:t>四、研究方法和设计</w:t>
      </w:r>
      <w:bookmarkEnd w:id="4"/>
    </w:p>
    <w:p>
      <w:pPr>
        <w:pStyle w:val="2"/>
        <w:spacing w:before="320" w:after="120" w:line="288" w:lineRule="auto"/>
        <w:ind w:left="0"/>
        <w:jc w:val="left"/>
        <w:outlineLvl w:val="1"/>
      </w:pPr>
      <w:bookmarkStart w:name="heading_5" w:id="5"/>
      <w:r>
        <w:rPr>
          <w:rFonts w:eastAsia="等线" w:ascii="Arial" w:cs="Arial" w:hAnsi="Arial"/>
          <w:b w:val="true"/>
          <w:sz w:val="32"/>
        </w:rPr>
        <w:t>1、研究设计类型</w:t>
      </w:r>
      <w:bookmarkEnd w:id="5"/>
    </w:p>
    <w:p>
      <w:pPr>
        <w:spacing w:before="120" w:after="120" w:line="288" w:lineRule="auto"/>
        <w:ind w:left="0" w:firstLine="420"/>
        <w:jc w:val="left"/>
      </w:pPr>
      <w:r>
        <w:rPr>
          <w:rFonts w:eastAsia="等线" w:ascii="Arial" w:cs="Arial" w:hAnsi="Arial"/>
          <w:sz w:val="22"/>
        </w:rPr>
        <w:t>本研究为病例对照研究。</w:t>
      </w:r>
    </w:p>
    <w:p>
      <w:pPr>
        <w:pStyle w:val="2"/>
        <w:spacing w:before="320" w:after="120" w:line="288" w:lineRule="auto"/>
        <w:ind w:left="0"/>
        <w:jc w:val="left"/>
        <w:outlineLvl w:val="1"/>
      </w:pPr>
      <w:bookmarkStart w:name="heading_6" w:id="6"/>
      <w:r>
        <w:rPr>
          <w:rFonts w:eastAsia="等线" w:ascii="Arial" w:cs="Arial" w:hAnsi="Arial"/>
          <w:b w:val="true"/>
          <w:sz w:val="32"/>
        </w:rPr>
        <w:t>2、研究对象及选择标准</w:t>
      </w:r>
      <w:bookmarkEnd w:id="6"/>
    </w:p>
    <w:p>
      <w:pPr>
        <w:spacing w:before="120" w:after="120" w:line="288" w:lineRule="auto"/>
        <w:ind w:left="0" w:firstLine="420"/>
        <w:jc w:val="left"/>
      </w:pPr>
      <w:r>
        <w:rPr>
          <w:rFonts w:eastAsia="等线" w:ascii="Arial" w:cs="Arial" w:hAnsi="Arial"/>
          <w:sz w:val="22"/>
        </w:rPr>
        <w:t>纳入时间：2024年11月1日-2025年5月1日</w:t>
      </w:r>
    </w:p>
    <w:p>
      <w:pPr>
        <w:spacing w:before="120" w:after="120" w:line="288" w:lineRule="auto"/>
        <w:ind w:left="0" w:firstLine="420"/>
        <w:jc w:val="left"/>
      </w:pPr>
      <w:r>
        <w:rPr>
          <w:rFonts w:eastAsia="等线" w:ascii="Arial" w:cs="Arial" w:hAnsi="Arial"/>
          <w:sz w:val="22"/>
        </w:rPr>
        <w:t>纳入地点：北京大学人民医院</w:t>
      </w:r>
    </w:p>
    <w:p>
      <w:pPr>
        <w:spacing w:before="120" w:after="120" w:line="288" w:lineRule="auto"/>
        <w:ind w:left="0" w:firstLine="420"/>
        <w:jc w:val="left"/>
      </w:pPr>
      <w:r>
        <w:rPr>
          <w:rFonts w:eastAsia="等线" w:ascii="Arial" w:cs="Arial" w:hAnsi="Arial"/>
          <w:sz w:val="22"/>
        </w:rPr>
        <w:t>纳入人数：拟纳入健康对照组40人，轻度、中度和重度动脉粥样硬化病例各60人，动脉粥样硬化合并心衰病例60人，动脉粥样硬化合并头颈部血管硬化病例60人，动脉粥样硬化合并脑卒中病例60人，共计400人。</w:t>
      </w:r>
    </w:p>
    <w:p>
      <w:pPr>
        <w:spacing w:before="120" w:after="120" w:line="288" w:lineRule="auto"/>
        <w:ind w:left="0" w:firstLine="420"/>
        <w:jc w:val="left"/>
      </w:pPr>
      <w:r>
        <w:rPr>
          <w:rFonts w:eastAsia="等线" w:ascii="Arial" w:cs="Arial" w:hAnsi="Arial"/>
          <w:sz w:val="22"/>
        </w:rPr>
        <w:t>对照组研究对象：18周岁及以上、既往无冠状动脉粥样硬化病史及脑卒中病史，并且经心脏彩超、颈动脉彩超、双下肢动脉彩超证实无动脉粥样硬化的个体。</w:t>
      </w:r>
    </w:p>
    <w:p>
      <w:pPr>
        <w:spacing w:before="120" w:after="120" w:line="288" w:lineRule="auto"/>
        <w:ind w:left="0" w:firstLine="420"/>
        <w:jc w:val="left"/>
      </w:pPr>
      <w:r>
        <w:rPr>
          <w:rFonts w:eastAsia="等线" w:ascii="Arial" w:cs="Arial" w:hAnsi="Arial"/>
          <w:sz w:val="22"/>
        </w:rPr>
        <w:t>动脉硬化筛查病例组研究对象：18周岁及以上、既往有冠状动脉粥样硬化或脑卒中病史，或经心脏彩超、颈动脉彩超、双下肢动脉彩超证实有动脉粥样硬化的个体。</w:t>
      </w:r>
    </w:p>
    <w:p>
      <w:pPr>
        <w:spacing w:before="120" w:after="120" w:line="288" w:lineRule="auto"/>
        <w:ind w:left="0" w:firstLine="420"/>
        <w:jc w:val="left"/>
      </w:pPr>
      <w:r>
        <w:rPr>
          <w:rFonts w:eastAsia="等线" w:ascii="Arial" w:cs="Arial" w:hAnsi="Arial"/>
          <w:sz w:val="22"/>
        </w:rPr>
        <w:t>脑卒中风险预测病例组研究对象：18周岁及以上、既往/当前有脑卒中病史的个体。</w:t>
      </w:r>
    </w:p>
    <w:p>
      <w:pPr>
        <w:pStyle w:val="2"/>
        <w:spacing w:before="320" w:after="120" w:line="288" w:lineRule="auto"/>
        <w:ind w:left="0"/>
        <w:jc w:val="left"/>
        <w:outlineLvl w:val="1"/>
      </w:pPr>
      <w:bookmarkStart w:name="heading_7" w:id="7"/>
      <w:r>
        <w:rPr>
          <w:rFonts w:eastAsia="等线" w:ascii="Arial" w:cs="Arial" w:hAnsi="Arial"/>
          <w:b w:val="true"/>
          <w:sz w:val="32"/>
        </w:rPr>
        <w:t>3、研究对象排除标准</w:t>
      </w:r>
      <w:bookmarkEnd w:id="7"/>
    </w:p>
    <w:p>
      <w:pPr>
        <w:spacing w:before="120" w:after="120" w:line="288" w:lineRule="auto"/>
        <w:ind w:left="0" w:firstLine="420"/>
        <w:jc w:val="left"/>
      </w:pPr>
      <w:r>
        <w:rPr>
          <w:rFonts w:eastAsia="等线" w:ascii="Arial" w:cs="Arial" w:hAnsi="Arial"/>
          <w:sz w:val="22"/>
        </w:rPr>
        <w:t>（1）动脉硬化筛查病例组及脑卒中风险预测病例组排除标准：</w:t>
      </w:r>
    </w:p>
    <w:p>
      <w:pPr>
        <w:spacing w:before="120" w:after="120" w:line="288" w:lineRule="auto"/>
        <w:ind w:left="0" w:firstLine="420"/>
        <w:jc w:val="left"/>
      </w:pPr>
      <w:r>
        <w:rPr>
          <w:rFonts w:eastAsia="等线" w:ascii="Arial" w:cs="Arial" w:hAnsi="Arial"/>
          <w:sz w:val="22"/>
        </w:rPr>
        <w:t>① 年龄不满18周岁者；</w:t>
      </w:r>
    </w:p>
    <w:p>
      <w:pPr>
        <w:spacing w:before="120" w:after="120" w:line="288" w:lineRule="auto"/>
        <w:ind w:left="0" w:firstLine="420"/>
        <w:jc w:val="left"/>
      </w:pPr>
      <w:r>
        <w:rPr>
          <w:rFonts w:eastAsia="等线" w:ascii="Arial" w:cs="Arial" w:hAnsi="Arial"/>
          <w:sz w:val="22"/>
        </w:rPr>
        <w:t>② 非自愿签署知情同意书者；</w:t>
      </w:r>
    </w:p>
    <w:p>
      <w:pPr>
        <w:spacing w:before="120" w:after="120" w:line="288" w:lineRule="auto"/>
        <w:ind w:left="0" w:firstLine="420"/>
        <w:jc w:val="left"/>
      </w:pPr>
      <w:r>
        <w:rPr>
          <w:rFonts w:eastAsia="等线" w:ascii="Arial" w:cs="Arial" w:hAnsi="Arial"/>
          <w:sz w:val="22"/>
        </w:rPr>
        <w:t>③ 合并大动脉瘤、主动脉夹层、可疑有动脉瘤或大动脉解离者；</w:t>
      </w:r>
    </w:p>
    <w:p>
      <w:pPr>
        <w:spacing w:before="120" w:after="120" w:line="288" w:lineRule="auto"/>
        <w:ind w:left="0" w:firstLine="420"/>
        <w:jc w:val="left"/>
      </w:pPr>
      <w:r>
        <w:rPr>
          <w:rFonts w:eastAsia="等线" w:ascii="Arial" w:cs="Arial" w:hAnsi="Arial"/>
          <w:sz w:val="22"/>
        </w:rPr>
        <w:t>④ 末梢循环障碍、下肢有深静脉血栓者或可疑下肢深静脉血栓者；</w:t>
      </w:r>
    </w:p>
    <w:p>
      <w:pPr>
        <w:spacing w:before="120" w:after="120" w:line="288" w:lineRule="auto"/>
        <w:ind w:left="0" w:firstLine="420"/>
        <w:jc w:val="left"/>
      </w:pPr>
      <w:r>
        <w:rPr>
          <w:rFonts w:eastAsia="等线" w:ascii="Arial" w:cs="Arial" w:hAnsi="Arial"/>
          <w:sz w:val="22"/>
        </w:rPr>
        <w:t>⑤ 动脉炎；</w:t>
      </w:r>
    </w:p>
    <w:p>
      <w:pPr>
        <w:spacing w:before="120" w:after="120" w:line="288" w:lineRule="auto"/>
        <w:ind w:left="0" w:firstLine="420"/>
        <w:jc w:val="left"/>
      </w:pPr>
      <w:r>
        <w:rPr>
          <w:rFonts w:eastAsia="等线" w:ascii="Arial" w:cs="Arial" w:hAnsi="Arial"/>
          <w:sz w:val="22"/>
        </w:rPr>
        <w:t>⑥ 下肢动脉血栓及闭塞症；</w:t>
      </w:r>
    </w:p>
    <w:p>
      <w:pPr>
        <w:spacing w:before="120" w:after="120" w:line="288" w:lineRule="auto"/>
        <w:ind w:left="0" w:firstLine="420"/>
        <w:jc w:val="left"/>
      </w:pPr>
      <w:r>
        <w:rPr>
          <w:rFonts w:eastAsia="等线" w:ascii="Arial" w:cs="Arial" w:hAnsi="Arial"/>
          <w:sz w:val="22"/>
        </w:rPr>
        <w:t>⑦ 有明显低血压、低体温的患者，测量部位血流极少者；</w:t>
      </w:r>
    </w:p>
    <w:p>
      <w:pPr>
        <w:spacing w:before="120" w:after="120" w:line="288" w:lineRule="auto"/>
        <w:ind w:left="0" w:firstLine="420"/>
        <w:jc w:val="left"/>
      </w:pPr>
      <w:r>
        <w:rPr>
          <w:rFonts w:eastAsia="等线" w:ascii="Arial" w:cs="Arial" w:hAnsi="Arial"/>
          <w:sz w:val="22"/>
        </w:rPr>
        <w:t>⑧ 植入外周动脉支架；</w:t>
      </w:r>
    </w:p>
    <w:p>
      <w:pPr>
        <w:spacing w:before="120" w:after="120" w:line="288" w:lineRule="auto"/>
        <w:ind w:left="0" w:firstLine="420"/>
        <w:jc w:val="left"/>
      </w:pPr>
      <w:r>
        <w:rPr>
          <w:rFonts w:eastAsia="等线" w:ascii="Arial" w:cs="Arial" w:hAnsi="Arial"/>
          <w:sz w:val="22"/>
        </w:rPr>
        <w:t>⑨ 孕妇；</w:t>
      </w:r>
    </w:p>
    <w:p>
      <w:pPr>
        <w:spacing w:before="120" w:after="120" w:line="288" w:lineRule="auto"/>
        <w:ind w:left="0" w:firstLine="420"/>
        <w:jc w:val="left"/>
      </w:pPr>
      <w:r>
        <w:rPr>
          <w:rFonts w:eastAsia="等线" w:ascii="Arial" w:cs="Arial" w:hAnsi="Arial"/>
          <w:sz w:val="22"/>
        </w:rPr>
        <w:t>⑩ 上、下肢静脉滴注、输血、血液透析或进行分流的患者；</w:t>
      </w:r>
    </w:p>
    <w:p>
      <w:pPr>
        <w:spacing w:before="120" w:after="120" w:line="288" w:lineRule="auto"/>
        <w:ind w:left="0" w:firstLine="420"/>
        <w:jc w:val="left"/>
      </w:pPr>
      <w:r>
        <w:rPr>
          <w:rFonts w:eastAsia="等线" w:ascii="Arial" w:cs="Arial" w:hAnsi="Arial"/>
          <w:sz w:val="22"/>
        </w:rPr>
        <w:t>⑪ 结缔组织病；</w:t>
      </w:r>
    </w:p>
    <w:p>
      <w:pPr>
        <w:spacing w:before="120" w:after="120" w:line="288" w:lineRule="auto"/>
        <w:ind w:left="0" w:firstLine="420"/>
        <w:jc w:val="left"/>
      </w:pPr>
      <w:r>
        <w:rPr>
          <w:rFonts w:eastAsia="等线" w:ascii="Arial" w:cs="Arial" w:hAnsi="Arial"/>
          <w:b w:val="true"/>
          <w:sz w:val="22"/>
        </w:rPr>
        <w:t>⑫</w:t>
      </w:r>
      <w:r>
        <w:rPr>
          <w:rFonts w:eastAsia="等线" w:ascii="Arial" w:cs="Arial" w:hAnsi="Arial"/>
          <w:sz w:val="22"/>
        </w:rPr>
        <w:t xml:space="preserve"> 肢体痉挛或震颤的患者；</w:t>
      </w:r>
    </w:p>
    <w:p>
      <w:pPr>
        <w:spacing w:before="120" w:after="120" w:line="288" w:lineRule="auto"/>
        <w:ind w:left="0" w:firstLine="420"/>
        <w:jc w:val="left"/>
      </w:pPr>
      <w:r>
        <w:rPr>
          <w:rFonts w:eastAsia="等线" w:ascii="Arial" w:cs="Arial" w:hAnsi="Arial"/>
          <w:b w:val="true"/>
          <w:sz w:val="22"/>
        </w:rPr>
        <w:t>⑬</w:t>
      </w:r>
      <w:r>
        <w:rPr>
          <w:rFonts w:eastAsia="等线" w:ascii="Arial" w:cs="Arial" w:hAnsi="Arial"/>
          <w:sz w:val="22"/>
        </w:rPr>
        <w:t xml:space="preserve"> 先天性主动脉缩窄；</w:t>
      </w:r>
    </w:p>
    <w:p>
      <w:pPr>
        <w:spacing w:before="120" w:after="120" w:line="288" w:lineRule="auto"/>
        <w:ind w:left="0" w:firstLine="420"/>
        <w:jc w:val="left"/>
      </w:pPr>
      <w:r>
        <w:rPr>
          <w:rFonts w:eastAsia="等线" w:ascii="Arial" w:cs="Arial" w:hAnsi="Arial"/>
          <w:b w:val="true"/>
          <w:sz w:val="22"/>
        </w:rPr>
        <w:t xml:space="preserve">⑭ </w:t>
      </w:r>
      <w:r>
        <w:rPr>
          <w:rFonts w:eastAsia="等线" w:ascii="Arial" w:cs="Arial" w:hAnsi="Arial"/>
          <w:sz w:val="22"/>
        </w:rPr>
        <w:t>使用心脏起搏器、人工心脏者；</w:t>
      </w:r>
    </w:p>
    <w:p>
      <w:pPr>
        <w:spacing w:before="120" w:after="120" w:line="288" w:lineRule="auto"/>
        <w:ind w:left="0" w:firstLine="420"/>
        <w:jc w:val="left"/>
      </w:pPr>
      <w:r>
        <w:rPr>
          <w:rFonts w:eastAsia="等线" w:ascii="Arial" w:cs="Arial" w:hAnsi="Arial"/>
          <w:b w:val="true"/>
          <w:sz w:val="22"/>
        </w:rPr>
        <w:t xml:space="preserve">⑮ </w:t>
      </w:r>
      <w:r>
        <w:rPr>
          <w:rFonts w:eastAsia="等线" w:ascii="Arial" w:cs="Arial" w:hAnsi="Arial"/>
          <w:sz w:val="22"/>
        </w:rPr>
        <w:t>严重心律不齐者；</w:t>
      </w:r>
    </w:p>
    <w:p>
      <w:pPr>
        <w:spacing w:before="120" w:after="120" w:line="288" w:lineRule="auto"/>
        <w:ind w:left="0" w:firstLine="420"/>
        <w:jc w:val="left"/>
      </w:pPr>
      <w:r>
        <w:rPr>
          <w:rFonts w:eastAsia="等线" w:ascii="Arial" w:cs="Arial" w:hAnsi="Arial"/>
          <w:b w:val="true"/>
          <w:sz w:val="22"/>
        </w:rPr>
        <w:t xml:space="preserve">⑯ </w:t>
      </w:r>
      <w:r>
        <w:rPr>
          <w:rFonts w:eastAsia="等线" w:ascii="Arial" w:cs="Arial" w:hAnsi="Arial"/>
          <w:sz w:val="22"/>
        </w:rPr>
        <w:t>BMI ≥ 40 kg/m2。</w:t>
      </w:r>
    </w:p>
    <w:p>
      <w:pPr>
        <w:spacing w:before="120" w:after="120" w:line="288" w:lineRule="auto"/>
        <w:ind w:left="0" w:firstLine="420"/>
        <w:jc w:val="left"/>
      </w:pPr>
      <w:r>
        <w:rPr>
          <w:rFonts w:eastAsia="等线" w:ascii="Arial" w:cs="Arial" w:hAnsi="Arial"/>
          <w:sz w:val="22"/>
        </w:rPr>
        <w:t>（2）对照组排除标准：</w:t>
      </w:r>
    </w:p>
    <w:p>
      <w:pPr>
        <w:spacing w:before="120" w:after="120" w:line="288" w:lineRule="auto"/>
        <w:ind w:left="0" w:firstLine="420"/>
        <w:jc w:val="left"/>
      </w:pPr>
      <w:r>
        <w:rPr>
          <w:rFonts w:eastAsia="等线" w:ascii="Arial" w:cs="Arial" w:hAnsi="Arial"/>
          <w:sz w:val="22"/>
        </w:rPr>
        <w:t>① 年龄不满18周岁者；</w:t>
      </w:r>
    </w:p>
    <w:p>
      <w:pPr>
        <w:spacing w:before="120" w:after="120" w:line="288" w:lineRule="auto"/>
        <w:ind w:left="0" w:firstLine="420"/>
        <w:jc w:val="left"/>
      </w:pPr>
      <w:r>
        <w:rPr>
          <w:rFonts w:eastAsia="等线" w:ascii="Arial" w:cs="Arial" w:hAnsi="Arial"/>
          <w:sz w:val="22"/>
        </w:rPr>
        <w:t>② 非自愿签署知情同意书者；</w:t>
      </w:r>
    </w:p>
    <w:p>
      <w:pPr>
        <w:spacing w:before="120" w:after="120" w:line="288" w:lineRule="auto"/>
        <w:ind w:left="0" w:firstLine="420"/>
        <w:jc w:val="left"/>
      </w:pPr>
      <w:r>
        <w:rPr>
          <w:rFonts w:eastAsia="等线" w:ascii="Arial" w:cs="Arial" w:hAnsi="Arial"/>
          <w:sz w:val="22"/>
        </w:rPr>
        <w:t>③ 既往确诊动脉粥样硬化者；</w:t>
      </w:r>
    </w:p>
    <w:p>
      <w:pPr>
        <w:spacing w:before="120" w:after="120" w:line="288" w:lineRule="auto"/>
        <w:ind w:left="0" w:firstLine="420"/>
        <w:jc w:val="left"/>
      </w:pPr>
      <w:r>
        <w:rPr>
          <w:rFonts w:eastAsia="等线" w:ascii="Arial" w:cs="Arial" w:hAnsi="Arial"/>
          <w:sz w:val="22"/>
        </w:rPr>
        <w:t>④ 既往确诊脑卒中者；</w:t>
      </w:r>
    </w:p>
    <w:p>
      <w:pPr>
        <w:spacing w:before="120" w:after="120" w:line="288" w:lineRule="auto"/>
        <w:ind w:left="0" w:firstLine="420"/>
        <w:jc w:val="left"/>
      </w:pPr>
      <w:r>
        <w:rPr>
          <w:rFonts w:eastAsia="等线" w:ascii="Arial" w:cs="Arial" w:hAnsi="Arial"/>
          <w:sz w:val="22"/>
        </w:rPr>
        <w:t>⑤ 既往确诊下肢动脉硬化性闭塞者；</w:t>
      </w:r>
    </w:p>
    <w:p>
      <w:pPr>
        <w:spacing w:before="120" w:after="120" w:line="288" w:lineRule="auto"/>
        <w:ind w:left="0" w:firstLine="420"/>
        <w:jc w:val="left"/>
      </w:pPr>
      <w:r>
        <w:rPr>
          <w:rFonts w:eastAsia="等线" w:ascii="Arial" w:cs="Arial" w:hAnsi="Arial"/>
          <w:sz w:val="22"/>
        </w:rPr>
        <w:t>⑥ 其他因素同动脉硬化筛查病例组及脑卒中风险预测病例组排除标准。</w:t>
      </w:r>
    </w:p>
    <w:p>
      <w:pPr>
        <w:pStyle w:val="2"/>
        <w:spacing w:before="320" w:after="120" w:line="288" w:lineRule="auto"/>
        <w:ind w:left="0"/>
        <w:jc w:val="left"/>
        <w:outlineLvl w:val="1"/>
      </w:pPr>
      <w:bookmarkStart w:name="heading_8" w:id="8"/>
      <w:r>
        <w:rPr>
          <w:rFonts w:eastAsia="等线" w:ascii="Arial" w:cs="Arial" w:hAnsi="Arial"/>
          <w:b w:val="true"/>
          <w:sz w:val="32"/>
        </w:rPr>
        <w:t>4、预测因素</w:t>
      </w:r>
      <w:bookmarkEnd w:id="8"/>
    </w:p>
    <w:p>
      <w:pPr>
        <w:spacing w:before="120" w:after="120" w:line="288" w:lineRule="auto"/>
        <w:ind w:left="0" w:firstLine="420"/>
        <w:jc w:val="left"/>
      </w:pPr>
      <w:r>
        <w:rPr>
          <w:rFonts w:eastAsia="等线" w:ascii="Arial" w:cs="Arial" w:hAnsi="Arial"/>
          <w:sz w:val="22"/>
        </w:rPr>
        <w:t>① 年龄：受试者测试时的周岁年龄。</w:t>
      </w:r>
    </w:p>
    <w:p>
      <w:pPr>
        <w:spacing w:before="120" w:after="120" w:line="288" w:lineRule="auto"/>
        <w:ind w:left="0" w:firstLine="420"/>
        <w:jc w:val="left"/>
      </w:pPr>
      <w:r>
        <w:rPr>
          <w:rFonts w:eastAsia="等线" w:ascii="Arial" w:cs="Arial" w:hAnsi="Arial"/>
          <w:sz w:val="22"/>
        </w:rPr>
        <w:t>② 性别：男性、女性。</w:t>
      </w:r>
    </w:p>
    <w:p>
      <w:pPr>
        <w:spacing w:before="120" w:after="120" w:line="288" w:lineRule="auto"/>
        <w:ind w:left="0" w:firstLine="420"/>
        <w:jc w:val="left"/>
      </w:pPr>
      <w:r>
        <w:rPr>
          <w:rFonts w:eastAsia="等线" w:ascii="Arial" w:cs="Arial" w:hAnsi="Arial"/>
          <w:sz w:val="22"/>
        </w:rPr>
        <w:t>③ 血压：包括收缩压和舒张压，高血压是心血管疾病的主要风险因素。</w:t>
      </w:r>
    </w:p>
    <w:p>
      <w:pPr>
        <w:spacing w:before="120" w:after="120" w:line="288" w:lineRule="auto"/>
        <w:ind w:left="0" w:firstLine="420"/>
        <w:jc w:val="left"/>
      </w:pPr>
      <w:r>
        <w:rPr>
          <w:rFonts w:eastAsia="等线" w:ascii="Arial" w:cs="Arial" w:hAnsi="Arial"/>
          <w:sz w:val="22"/>
        </w:rPr>
        <w:t>④ 心率变异性（Heart rate variability, HRV）：通过PPG和ECG监测得到的心率变异性可以反映心脏的自主神经功能。</w:t>
      </w:r>
    </w:p>
    <w:p>
      <w:pPr>
        <w:spacing w:before="120" w:after="120" w:line="288" w:lineRule="auto"/>
        <w:ind w:left="0" w:firstLine="420"/>
        <w:jc w:val="left"/>
      </w:pPr>
      <w:r>
        <w:rPr>
          <w:rFonts w:eastAsia="等线" w:ascii="Arial" w:cs="Arial" w:hAnsi="Arial"/>
          <w:sz w:val="22"/>
        </w:rPr>
        <w:t>⑤ PWV：通过PPG和ECG监测得到的脉搏波在血管中传播的速度，是评估血管弹性的重要指标。</w:t>
      </w:r>
    </w:p>
    <w:p>
      <w:pPr>
        <w:spacing w:before="120" w:after="120" w:line="288" w:lineRule="auto"/>
        <w:ind w:left="0" w:firstLine="420"/>
        <w:jc w:val="left"/>
      </w:pPr>
      <w:r>
        <w:rPr>
          <w:rFonts w:eastAsia="等线" w:ascii="Arial" w:cs="Arial" w:hAnsi="Arial"/>
          <w:sz w:val="22"/>
        </w:rPr>
        <w:t>⑥ 体重和身高：利用患者基本信息计算体质指数（Body Mass Index, BMI），肥胖是心血管疾病的危险因素。</w:t>
      </w:r>
    </w:p>
    <w:p>
      <w:pPr>
        <w:spacing w:before="120" w:after="120" w:line="288" w:lineRule="auto"/>
        <w:ind w:left="0" w:firstLine="420"/>
        <w:jc w:val="left"/>
      </w:pPr>
      <w:r>
        <w:rPr>
          <w:rFonts w:eastAsia="等线" w:ascii="Arial" w:cs="Arial" w:hAnsi="Arial"/>
          <w:sz w:val="22"/>
        </w:rPr>
        <w:t>⑦ 糖尿病：长期高血糖会损害血管，增加了动脉硬化风险。</w:t>
      </w:r>
    </w:p>
    <w:p>
      <w:pPr>
        <w:spacing w:before="120" w:after="120" w:line="288" w:lineRule="auto"/>
        <w:ind w:left="0" w:firstLine="420"/>
        <w:jc w:val="left"/>
      </w:pPr>
      <w:r>
        <w:rPr>
          <w:rFonts w:eastAsia="等线" w:ascii="Arial" w:cs="Arial" w:hAnsi="Arial"/>
          <w:sz w:val="22"/>
        </w:rPr>
        <w:t xml:space="preserve">⑧ </w:t>
      </w:r>
      <w:r>
        <w:rPr>
          <w:rFonts w:eastAsia="等线" w:ascii="Arial" w:cs="Arial" w:hAnsi="Arial"/>
          <w:b w:val="true"/>
          <w:sz w:val="22"/>
        </w:rPr>
        <w:t>运动量</w:t>
      </w:r>
      <w:r>
        <w:rPr>
          <w:rFonts w:eastAsia="等线" w:ascii="Arial" w:cs="Arial" w:hAnsi="Arial"/>
          <w:sz w:val="22"/>
        </w:rPr>
        <w:t>：包括运动强度与运动时长。</w:t>
      </w:r>
    </w:p>
    <w:p>
      <w:pPr>
        <w:spacing w:before="120" w:after="120" w:line="288" w:lineRule="auto"/>
        <w:ind w:left="0" w:firstLine="420"/>
        <w:jc w:val="left"/>
      </w:pPr>
      <w:r>
        <w:rPr>
          <w:rFonts w:eastAsia="等线" w:ascii="Arial" w:cs="Arial" w:hAnsi="Arial"/>
          <w:sz w:val="22"/>
        </w:rPr>
        <w:t xml:space="preserve">⑨ </w:t>
      </w:r>
      <w:r>
        <w:rPr>
          <w:rFonts w:eastAsia="等线" w:ascii="Arial" w:cs="Arial" w:hAnsi="Arial"/>
          <w:b w:val="true"/>
          <w:sz w:val="22"/>
        </w:rPr>
        <w:t>血脂</w:t>
      </w:r>
      <w:r>
        <w:rPr>
          <w:rFonts w:eastAsia="等线" w:ascii="Arial" w:cs="Arial" w:hAnsi="Arial"/>
          <w:sz w:val="22"/>
        </w:rPr>
        <w:t>：包括胆固醇和甘油三酯。</w:t>
      </w:r>
    </w:p>
    <w:p>
      <w:pPr>
        <w:pStyle w:val="2"/>
        <w:spacing w:before="320" w:after="120" w:line="288" w:lineRule="auto"/>
        <w:ind w:left="0"/>
        <w:jc w:val="left"/>
        <w:outlineLvl w:val="1"/>
      </w:pPr>
      <w:bookmarkStart w:name="heading_9" w:id="9"/>
      <w:r>
        <w:rPr>
          <w:rFonts w:eastAsia="等线" w:ascii="Arial" w:cs="Arial" w:hAnsi="Arial"/>
          <w:b w:val="true"/>
          <w:sz w:val="32"/>
        </w:rPr>
        <w:t>5、预测模型的开发</w:t>
      </w:r>
      <w:bookmarkEnd w:id="9"/>
    </w:p>
    <w:p>
      <w:pPr>
        <w:spacing w:before="120" w:after="120" w:line="288" w:lineRule="auto"/>
        <w:ind w:left="0" w:firstLine="420"/>
        <w:jc w:val="left"/>
      </w:pPr>
      <w:r>
        <w:rPr>
          <w:rFonts w:eastAsia="等线" w:ascii="Arial" w:cs="Arial" w:hAnsi="Arial"/>
          <w:sz w:val="22"/>
        </w:rPr>
        <w:t>本研究拟采用机器学习方式构建动脉硬化筛查与脑卒中风险预测模型，具体方案如下：</w:t>
      </w:r>
    </w:p>
    <w:p>
      <w:pPr>
        <w:spacing w:before="120" w:after="120" w:line="288" w:lineRule="auto"/>
        <w:ind w:left="0" w:firstLine="420"/>
        <w:jc w:val="left"/>
      </w:pPr>
      <w:r>
        <w:rPr>
          <w:rFonts w:eastAsia="等线" w:ascii="Arial" w:cs="Arial" w:hAnsi="Arial"/>
          <w:sz w:val="22"/>
        </w:rPr>
        <w:t>收集受试者的脱敏生理信息，包括但不限于：血压、血脂、血氧、心脏病史、PPG、cfPWV、baPWV、身高、体重、年龄、性别、颈动脉超声、脑补CT/MRI等，构建数据集。对数据集进行清洗与整理，处理缺失值与异常值，确保数据质量。将数据集以7：3的比例随机拆分为训练集与测试集。采用统计分析、相关领域知识、递归特征消除（RFE）、基于模型的特征选择等方法选择与动脉硬化、脑卒中风险相关度高的特征。选择合适的机器学习方法，包括但不限于：支持向量机、随机森林、传统神经网络、CNN、RNN、XGBoost、LightGBM等。将训练集输入模型进行训练与模型参数调优，并使用10折交叉验证的方法评估模型的稳定性和性能。使用测试集来评估各个模型的真实性能与泛化能力，主要指标包括：灵敏度、特异性、准确率、F1分数、AUC等。综合分析各个模型的混淆矩阵与性能，选择最优结果作为本研究的机器学习模型方案。</w:t>
      </w:r>
    </w:p>
    <w:p>
      <w:pPr>
        <w:pStyle w:val="2"/>
        <w:spacing w:before="320" w:after="120" w:line="288" w:lineRule="auto"/>
        <w:ind w:left="0"/>
        <w:jc w:val="left"/>
        <w:outlineLvl w:val="1"/>
      </w:pPr>
      <w:bookmarkStart w:name="heading_10" w:id="10"/>
      <w:r>
        <w:rPr>
          <w:rFonts w:eastAsia="等线" w:ascii="Arial" w:cs="Arial" w:hAnsi="Arial"/>
          <w:b w:val="true"/>
          <w:sz w:val="32"/>
        </w:rPr>
        <w:t>6、预测模型的验证及效果评价</w:t>
      </w:r>
      <w:bookmarkEnd w:id="10"/>
    </w:p>
    <w:p>
      <w:pPr>
        <w:spacing w:before="120" w:after="120" w:line="288" w:lineRule="auto"/>
        <w:ind w:left="0" w:firstLine="420"/>
        <w:jc w:val="left"/>
      </w:pPr>
      <w:r>
        <w:rPr>
          <w:rFonts w:eastAsia="等线" w:ascii="Arial" w:cs="Arial" w:hAnsi="Arial"/>
          <w:sz w:val="22"/>
        </w:rPr>
        <w:t>本研究构建的预测模型模型分别进行内部验证和外部验证，验证方法说明如下：</w:t>
      </w:r>
    </w:p>
    <w:p>
      <w:pPr>
        <w:pStyle w:val="3"/>
        <w:spacing w:before="300" w:after="120" w:line="288" w:lineRule="auto"/>
        <w:ind w:left="0"/>
        <w:jc w:val="left"/>
        <w:outlineLvl w:val="2"/>
      </w:pPr>
      <w:bookmarkStart w:name="heading_11" w:id="11"/>
      <w:r>
        <w:rPr>
          <w:rFonts w:eastAsia="等线" w:ascii="Arial" w:cs="Arial" w:hAnsi="Arial"/>
          <w:b w:val="true"/>
          <w:sz w:val="30"/>
        </w:rPr>
        <w:t>（1）内部验证</w:t>
      </w:r>
      <w:bookmarkEnd w:id="11"/>
    </w:p>
    <w:p>
      <w:pPr>
        <w:spacing w:before="120" w:after="120" w:line="288" w:lineRule="auto"/>
        <w:ind w:left="0" w:firstLine="420"/>
        <w:jc w:val="left"/>
      </w:pPr>
      <w:r>
        <w:rPr>
          <w:rFonts w:eastAsia="等线" w:ascii="Arial" w:cs="Arial" w:hAnsi="Arial"/>
          <w:sz w:val="22"/>
        </w:rPr>
        <w:t>根据本研究具体情况，将采用10折交叉验证的方式进行内部验证：</w:t>
      </w:r>
    </w:p>
    <w:p>
      <w:pPr>
        <w:spacing w:before="120" w:after="120" w:line="288" w:lineRule="auto"/>
        <w:ind w:left="0" w:firstLine="420"/>
        <w:jc w:val="left"/>
      </w:pPr>
      <w:r>
        <w:rPr>
          <w:rFonts w:eastAsia="等线" w:ascii="Arial" w:cs="Arial" w:hAnsi="Arial"/>
          <w:sz w:val="22"/>
        </w:rPr>
        <w:t>10折交叉验证（10-fold cross-validation）：将数据集随机划分为10个大小相等的互斥子集。在每次迭代中，将其中一个子集用作测试集，其余9个子集合并用作训练集。这个过程重复9次，每次选择不同的子集作为测试集 。</w:t>
      </w:r>
    </w:p>
    <w:p>
      <w:pPr>
        <w:pStyle w:val="3"/>
        <w:spacing w:before="300" w:after="120" w:line="288" w:lineRule="auto"/>
        <w:ind w:left="0"/>
        <w:jc w:val="left"/>
        <w:outlineLvl w:val="2"/>
      </w:pPr>
      <w:bookmarkStart w:name="heading_12" w:id="12"/>
      <w:r>
        <w:rPr>
          <w:rFonts w:eastAsia="等线" w:ascii="Arial" w:cs="Arial" w:hAnsi="Arial"/>
          <w:b w:val="true"/>
          <w:sz w:val="30"/>
        </w:rPr>
        <w:t>（2）外部验证</w:t>
      </w:r>
      <w:bookmarkEnd w:id="12"/>
    </w:p>
    <w:p>
      <w:pPr>
        <w:spacing w:before="120" w:after="120" w:line="288" w:lineRule="auto"/>
        <w:ind w:left="0" w:firstLine="420"/>
        <w:jc w:val="left"/>
      </w:pPr>
      <w:r>
        <w:rPr>
          <w:rFonts w:eastAsia="等线" w:ascii="Arial" w:cs="Arial" w:hAnsi="Arial"/>
          <w:sz w:val="22"/>
        </w:rPr>
        <w:t>本研究将采用公开数据集Vascular Quality Initiative进行外部数据源测试，评估预测模型的可移植性和可泛化性。</w:t>
      </w:r>
    </w:p>
    <w:p>
      <w:pPr>
        <w:pStyle w:val="3"/>
        <w:spacing w:before="300" w:after="120" w:line="288" w:lineRule="auto"/>
        <w:ind w:left="0"/>
        <w:jc w:val="left"/>
        <w:outlineLvl w:val="2"/>
      </w:pPr>
      <w:bookmarkStart w:name="heading_13" w:id="13"/>
      <w:r>
        <w:rPr>
          <w:rFonts w:eastAsia="等线" w:ascii="Arial" w:cs="Arial" w:hAnsi="Arial"/>
          <w:b w:val="true"/>
          <w:sz w:val="30"/>
        </w:rPr>
        <w:t>（3）预测效果评价</w:t>
      </w:r>
      <w:bookmarkEnd w:id="13"/>
    </w:p>
    <w:p>
      <w:pPr>
        <w:spacing w:before="120" w:after="120" w:line="288" w:lineRule="auto"/>
        <w:ind w:left="0" w:firstLine="420"/>
        <w:jc w:val="left"/>
      </w:pPr>
      <w:r>
        <w:rPr>
          <w:rFonts w:eastAsia="等线" w:ascii="Arial" w:cs="Arial" w:hAnsi="Arial"/>
          <w:sz w:val="22"/>
        </w:rPr>
        <w:t>将手表估算的动脉硬化结果、脑卒中风险结果与传统检测仪测量的金标结果进行比较，使用统计学方法分析两者的一致性和差异。</w:t>
      </w:r>
    </w:p>
    <w:p>
      <w:pPr>
        <w:numPr>
          <w:numId w:val="1"/>
        </w:numPr>
        <w:spacing w:before="120" w:after="120" w:line="288" w:lineRule="auto"/>
        <w:ind w:left="0"/>
        <w:jc w:val="left"/>
      </w:pPr>
      <w:r>
        <w:rPr>
          <w:rFonts w:eastAsia="等线" w:ascii="Arial" w:cs="Arial" w:hAnsi="Arial"/>
          <w:sz w:val="22"/>
        </w:rPr>
        <w:t>准确度、灵敏度、特异度：正确识别的样本比例、正确识别正例的能力、正确识别负例的能力。</w:t>
      </w:r>
    </w:p>
    <w:p>
      <w:pPr>
        <w:numPr>
          <w:numId w:val="2"/>
        </w:numPr>
        <w:spacing w:before="120" w:after="120" w:line="288" w:lineRule="auto"/>
        <w:ind w:left="0"/>
        <w:jc w:val="left"/>
      </w:pPr>
      <w:r>
        <w:rPr>
          <w:rFonts w:eastAsia="等线" w:ascii="Arial" w:cs="Arial" w:hAnsi="Arial"/>
          <w:sz w:val="22"/>
        </w:rPr>
        <w:t>阳性预测值（PPV）：指的是在所有被诊断为阳性的个体中，实际患有该疾病的个体所占的比例。其计算公式为：​，其中TP是真阳性的数量，FP是假阳性的数量。PPV的高低受疾病在群体中的患病率影响，患病率越高，PPV通常也越高。</w:t>
      </w:r>
    </w:p>
    <w:p>
      <w:pPr>
        <w:numPr>
          <w:numId w:val="3"/>
        </w:numPr>
        <w:spacing w:before="120" w:after="120" w:line="288" w:lineRule="auto"/>
        <w:ind w:left="0"/>
        <w:jc w:val="left"/>
      </w:pPr>
      <w:r>
        <w:rPr>
          <w:rFonts w:eastAsia="等线" w:ascii="Arial" w:cs="Arial" w:hAnsi="Arial"/>
          <w:sz w:val="22"/>
        </w:rPr>
        <w:t>阴性预测值（NPV）：指的是在所有被诊断为阴性的个体中，实际未患有该疾病的个体所占的比例。其计算公式为： ​，其中TN是真阴性的数量，FN是假阴性的数量。NPV的高意味着当测试结果为阴性时，患病的可能性很小。</w:t>
      </w:r>
    </w:p>
    <w:p>
      <w:pPr>
        <w:numPr>
          <w:numId w:val="4"/>
        </w:numPr>
        <w:spacing w:before="120" w:after="120" w:line="288" w:lineRule="auto"/>
        <w:ind w:left="0"/>
        <w:jc w:val="left"/>
      </w:pPr>
      <w:r>
        <w:rPr>
          <w:rFonts w:eastAsia="等线" w:ascii="Arial" w:cs="Arial" w:hAnsi="Arial"/>
          <w:sz w:val="22"/>
        </w:rPr>
        <w:t>F1分数（F1 Score）：精确率和召回率的调和平均值，用于综合考虑精确率和召回率。</w:t>
      </w:r>
    </w:p>
    <w:p>
      <w:pPr>
        <w:numPr>
          <w:numId w:val="5"/>
        </w:numPr>
        <w:spacing w:before="120" w:after="120" w:line="288" w:lineRule="auto"/>
        <w:ind w:left="0"/>
        <w:jc w:val="left"/>
      </w:pPr>
      <w:r>
        <w:rPr>
          <w:rFonts w:eastAsia="等线" w:ascii="Arial" w:cs="Arial" w:hAnsi="Arial"/>
          <w:sz w:val="22"/>
        </w:rPr>
        <w:t>混淆矩阵（Confusion Matrix）：展示模型预测的结果与实际情况的对照，包括真正例、假正例、真负例和假负例。</w:t>
      </w:r>
    </w:p>
    <w:p>
      <w:pPr>
        <w:numPr>
          <w:numId w:val="6"/>
        </w:numPr>
        <w:spacing w:before="120" w:after="120" w:line="288" w:lineRule="auto"/>
        <w:ind w:left="0"/>
        <w:jc w:val="left"/>
      </w:pPr>
      <w:r>
        <w:rPr>
          <w:rFonts w:eastAsia="等线" w:ascii="Arial" w:cs="Arial" w:hAnsi="Arial"/>
          <w:sz w:val="22"/>
        </w:rPr>
        <w:t>ROC曲线（Receiver operating characteristic curve）和AUC（Area Under Curve）值：ROC曲线是接收者操作特征曲线，用于展示在不同阈值下模型的真正例率与假正例率的关系，AUC值表示ROC曲线下的面积，值越高代表模型性能越好。</w:t>
      </w:r>
    </w:p>
    <w:p>
      <w:pPr>
        <w:numPr>
          <w:numId w:val="7"/>
        </w:numPr>
        <w:spacing w:before="120" w:after="120" w:line="288" w:lineRule="auto"/>
        <w:ind w:left="0"/>
        <w:jc w:val="left"/>
      </w:pPr>
      <w:r>
        <w:rPr>
          <w:rFonts w:eastAsia="等线" w:ascii="Arial" w:cs="Arial" w:hAnsi="Arial"/>
          <w:sz w:val="22"/>
        </w:rPr>
        <w:t>均方误差（MSE）和均方根误差（RMSE）：在回归问题中，MSE是预测值与真实值差的平方的平均值，RMSE是MSE的平方根，用于评估模型的预测精度。</w:t>
      </w:r>
    </w:p>
    <w:p>
      <w:pPr>
        <w:numPr>
          <w:numId w:val="8"/>
        </w:numPr>
        <w:spacing w:before="120" w:after="120" w:line="288" w:lineRule="auto"/>
        <w:ind w:left="0"/>
        <w:jc w:val="left"/>
      </w:pPr>
      <w:r>
        <w:rPr>
          <w:rFonts w:eastAsia="等线" w:ascii="Arial" w:cs="Arial" w:hAnsi="Arial"/>
          <w:sz w:val="22"/>
        </w:rPr>
        <w:t>平均绝对误差（MAE）：预测值与真实值差的绝对值的平均值，用于回归问题中评估模型的预测精度。</w:t>
      </w:r>
    </w:p>
    <w:p>
      <w:pPr>
        <w:numPr>
          <w:numId w:val="9"/>
        </w:numPr>
        <w:spacing w:before="120" w:after="120" w:line="288" w:lineRule="auto"/>
        <w:ind w:left="0"/>
        <w:jc w:val="left"/>
      </w:pPr>
      <w:r>
        <w:rPr>
          <w:rFonts w:eastAsia="等线" w:ascii="Arial" w:cs="Arial" w:hAnsi="Arial"/>
          <w:sz w:val="22"/>
        </w:rPr>
        <w:t>R平方值（R-Squared）：在回归问题中，表示模型解释的变异性占总变异性的比例，值越接近1说明模型拟合效果越好。</w:t>
      </w:r>
    </w:p>
    <w:p>
      <w:pPr>
        <w:pStyle w:val="2"/>
        <w:spacing w:before="320" w:after="120" w:line="288" w:lineRule="auto"/>
        <w:ind w:left="0"/>
        <w:jc w:val="left"/>
        <w:outlineLvl w:val="1"/>
      </w:pPr>
      <w:bookmarkStart w:name="heading_14" w:id="14"/>
      <w:r>
        <w:rPr>
          <w:rFonts w:eastAsia="等线" w:ascii="Arial" w:cs="Arial" w:hAnsi="Arial"/>
          <w:b w:val="true"/>
          <w:sz w:val="32"/>
        </w:rPr>
        <w:t>7、样本量的计算依据</w:t>
      </w:r>
      <w:bookmarkEnd w:id="14"/>
    </w:p>
    <w:p>
      <w:pPr>
        <w:spacing w:before="120" w:after="120" w:line="288" w:lineRule="auto"/>
        <w:ind w:left="0" w:firstLine="420"/>
        <w:jc w:val="left"/>
      </w:pPr>
      <w:r>
        <w:rPr>
          <w:rFonts w:eastAsia="等线" w:ascii="Arial" w:cs="Arial" w:hAnsi="Arial"/>
          <w:sz w:val="22"/>
        </w:rPr>
        <w:t>R语言中的</w:t>
      </w:r>
      <w:r>
        <w:rPr>
          <w:rFonts w:eastAsia="等线" w:ascii="Arial" w:cs="Arial" w:hAnsi="Arial"/>
          <w:i w:val="true"/>
          <w:sz w:val="22"/>
        </w:rPr>
        <w:t>pmsampsize</w:t>
      </w:r>
      <w:r>
        <w:rPr>
          <w:rFonts w:eastAsia="等线" w:ascii="Arial" w:cs="Arial" w:hAnsi="Arial"/>
          <w:sz w:val="22"/>
        </w:rPr>
        <w:t>包可用于计算开发连续性变量、二分类变量或时间事件结局预测模型的最小样本量，考虑血管预测模型结局变量血管硬化程度为有序分类变量，本研究预期纳入的预测变量数量为15，健康组与病例组采用1:3设置对照，则可以这样设置参数并进行计算：</w:t>
      </w:r>
    </w:p>
    <w:p>
      <w:pPr>
        <w:spacing w:before="120" w:after="120" w:line="288" w:lineRule="auto"/>
        <w:ind w:left="0"/>
        <w:jc w:val="left"/>
      </w:pPr>
      <w:r>
        <w:drawing>
          <wp:inline distT="0" distR="0" distB="0" distL="0">
            <wp:extent cx="5257800" cy="20288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2028825"/>
                    </a:xfrm>
                    <a:prstGeom prst="rect">
                      <a:avLst/>
                    </a:prstGeom>
                  </pic:spPr>
                </pic:pic>
              </a:graphicData>
            </a:graphic>
          </wp:inline>
        </w:drawing>
      </w:r>
    </w:p>
    <w:p>
      <w:pPr>
        <w:spacing w:before="120" w:after="120" w:line="288" w:lineRule="auto"/>
        <w:ind w:left="0" w:firstLine="420"/>
        <w:jc w:val="left"/>
      </w:pPr>
      <w:r>
        <w:rPr>
          <w:rFonts w:eastAsia="等线" w:ascii="Arial" w:cs="Arial" w:hAnsi="Arial"/>
          <w:sz w:val="22"/>
        </w:rPr>
        <w:t>根据计算结果，本研究所需的最小样本量为352人。本研究拟纳入健康对照40人，轻度、中度和重度动脉粥样硬化病例各60人，动脉粥样硬化合并心衰病例60人，动脉粥样硬化合并头颈部血管硬化病例60人，动脉粥样硬化合并脑卒中病例60人，共计400人。</w:t>
      </w:r>
    </w:p>
    <w:p>
      <w:pPr>
        <w:spacing w:before="120" w:after="120" w:line="288" w:lineRule="auto"/>
        <w:ind w:left="0" w:firstLine="420"/>
        <w:jc w:val="left"/>
      </w:pPr>
      <w:r>
        <w:rPr>
          <w:rFonts w:eastAsia="等线" w:ascii="Arial" w:cs="Arial" w:hAnsi="Arial"/>
          <w:b w:val="true"/>
          <w:sz w:val="22"/>
        </w:rPr>
        <w:t>8、研究进度</w:t>
      </w:r>
    </w:p>
    <w:p>
      <w:pPr>
        <w:spacing w:before="120" w:after="120" w:line="288" w:lineRule="auto"/>
        <w:ind w:left="0" w:firstLine="420"/>
        <w:jc w:val="left"/>
      </w:pPr>
      <w:r>
        <w:rPr>
          <w:rFonts w:eastAsia="等线" w:ascii="Arial" w:cs="Arial" w:hAnsi="Arial"/>
          <w:sz w:val="22"/>
        </w:rPr>
        <w:t>本项目计划在12个月内完成项目研究, 项目研究计划及预期研究成果见下表：</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675"/>
        <w:gridCol w:w="795"/>
        <w:gridCol w:w="1215"/>
        <w:gridCol w:w="1575"/>
        <w:gridCol w:w="1065"/>
        <w:gridCol w:w="1545"/>
        <w:gridCol w:w="1410"/>
      </w:tblGrid>
      <w:tr>
        <w:tc>
          <w:tcPr>
            <w:tcW w:w="67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开发计划</w:t>
            </w:r>
          </w:p>
        </w:tc>
        <w:tc>
          <w:tcPr>
            <w:tcW w:w="79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开发时间</w:t>
            </w:r>
          </w:p>
        </w:tc>
        <w:tc>
          <w:tcPr>
            <w:tcW w:w="121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开发内容</w:t>
            </w:r>
          </w:p>
        </w:tc>
        <w:tc>
          <w:tcPr>
            <w:tcW w:w="157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交付物</w:t>
            </w:r>
          </w:p>
        </w:tc>
        <w:tc>
          <w:tcPr>
            <w:tcW w:w="106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交付时间</w:t>
            </w:r>
          </w:p>
        </w:tc>
        <w:tc>
          <w:tcPr>
            <w:tcW w:w="154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验收标准</w:t>
            </w:r>
          </w:p>
        </w:tc>
        <w:tc>
          <w:tcPr>
            <w:tcW w:w="141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验收方法</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第一阶段</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2024年11月1日</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项目方案设计</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完整项目研究方案</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2024年11月18日</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研究方案的完整性与科学性，需包含两期试验的具体研究方法、入组数据分析等内容</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书面通知</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第二阶段</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2024年11月11日</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项目伦理审核</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北京大学人民医院盖章版伦理审核批件</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2024年12月13日</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项目顺利通过北京大学人民医院伦理审查委员会审核，并获得加盖改医院公章的伦理审核批件。</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书面通知</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第三阶段</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2024年12月17日</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入组200例受试者（含轻、中、重等级动脉硬化患者各60例，正常人20例），通过医疗设备和甲方设备采集，为动脉硬化筛查模型搭建提供数据与医学支持</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1、2025年1月17日完成第一批100例数据采集和分析，交付中期试验报告。</w:t>
            </w:r>
          </w:p>
          <w:p>
            <w:pPr>
              <w:spacing w:before="120" w:after="120" w:line="288" w:lineRule="auto"/>
              <w:ind w:left="0"/>
              <w:jc w:val="left"/>
            </w:pPr>
            <w:r>
              <w:rPr>
                <w:rFonts w:eastAsia="等线" w:ascii="Arial" w:cs="Arial" w:hAnsi="Arial"/>
                <w:sz w:val="22"/>
              </w:rPr>
              <w:t>2、2025年3月17日完成第二批100例数据采集和分析，汇总200例数据分析形成并交付最终版试验总结报告。</w:t>
            </w:r>
          </w:p>
          <w:p>
            <w:pPr>
              <w:spacing w:before="120" w:after="120" w:line="288" w:lineRule="auto"/>
              <w:ind w:left="0"/>
              <w:jc w:val="left"/>
            </w:pPr>
            <w:r>
              <w:rPr>
                <w:rFonts w:eastAsia="等线" w:ascii="Arial" w:cs="Arial" w:hAnsi="Arial"/>
                <w:sz w:val="22"/>
              </w:rPr>
              <w:t>3、2025年3月17日乙方完成配合甲方对血管硬化风险评估的产品功能合作介绍。</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见该阶段交付物约定交付日期</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1、共完成200例受试者数据采集和分析汇总（含PPG&amp;ECG数据，动脉硬化评估数据）；</w:t>
            </w:r>
          </w:p>
          <w:p>
            <w:pPr>
              <w:spacing w:before="120" w:after="120" w:line="288" w:lineRule="auto"/>
              <w:ind w:left="0"/>
              <w:jc w:val="left"/>
            </w:pPr>
            <w:r>
              <w:rPr>
                <w:rFonts w:eastAsia="等线" w:ascii="Arial" w:cs="Arial" w:hAnsi="Arial"/>
                <w:sz w:val="22"/>
              </w:rPr>
              <w:t>2、中期及终版项目总结报告完整且能清晰反映PPG&amp;ECG数据与动脉硬化风险之间的关系。</w:t>
            </w:r>
          </w:p>
          <w:p>
            <w:pPr>
              <w:spacing w:before="120" w:after="120" w:line="288" w:lineRule="auto"/>
              <w:ind w:left="0"/>
              <w:jc w:val="left"/>
            </w:pPr>
            <w:r>
              <w:rPr>
                <w:rFonts w:eastAsia="等线" w:ascii="Arial" w:cs="Arial" w:hAnsi="Arial"/>
                <w:sz w:val="22"/>
              </w:rPr>
              <w:t>3、医院完成配合对血管硬化风险评估的产品功能合作介绍。</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书面结果报告及分析图表</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第四阶段</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2025年1月14日</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通过甲方设备和医疗检测设备获得监测数据，入组200例受试者（心衰用户60人，头颈部动脉硬化用户60人，脑卒中用户60人，正常用户20人），结合上一阶段PPG&amp;ECG数据，为脑卒中、脑血管狭窄、心衰风险提供数据与医学支持</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2025年4月14日之前完成第一批100例采集和数据分析，交付中期报告，中期报告应包含但不限于风险评估初步结论。</w:t>
            </w:r>
          </w:p>
          <w:p>
            <w:pPr>
              <w:spacing w:before="120" w:after="120" w:line="288" w:lineRule="auto"/>
              <w:ind w:left="0"/>
              <w:jc w:val="left"/>
            </w:pPr>
            <w:r>
              <w:rPr>
                <w:rFonts w:eastAsia="等线" w:ascii="Arial" w:cs="Arial" w:hAnsi="Arial"/>
                <w:sz w:val="22"/>
              </w:rPr>
              <w:t>2015年7月14日之前完成第二批100例受试者数据采集和分析，汇总200例数据分析并交付最终版试验总结报告和结论。</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2025年7月14日</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1、共完成200例受试者数据采集和分析汇总（含PPG&amp;ACC数据，脑卒中、脑血管狭窄、心衰风险评估数据）；</w:t>
            </w:r>
          </w:p>
          <w:p>
            <w:pPr>
              <w:spacing w:before="120" w:after="120" w:line="288" w:lineRule="auto"/>
              <w:ind w:left="0"/>
              <w:jc w:val="left"/>
            </w:pPr>
            <w:r>
              <w:rPr>
                <w:rFonts w:eastAsia="等线" w:ascii="Arial" w:cs="Arial" w:hAnsi="Arial"/>
                <w:sz w:val="22"/>
              </w:rPr>
              <w:t>2、中期及终版项目总结报告完整且能清晰反映PPG&amp;ACC数据和脑卒中、脑血管狭窄、心衰风险之间的关系。</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结果报告及分析图表</w:t>
            </w:r>
          </w:p>
        </w:tc>
      </w:tr>
      <w:tr>
        <w:tc>
          <w:tcPr>
            <w:tcW w:w="6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第五阶段</w:t>
            </w:r>
          </w:p>
        </w:tc>
        <w:tc>
          <w:tcPr>
            <w:tcW w:w="7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2025年3月3日</w:t>
            </w:r>
          </w:p>
        </w:tc>
        <w:tc>
          <w:tcPr>
            <w:tcW w:w="121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项目论文提交</w:t>
            </w:r>
          </w:p>
        </w:tc>
        <w:tc>
          <w:tcPr>
            <w:tcW w:w="15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交付基于前述阶段试验结果的论文或期刊1-2篇，甲乙双方均对论文有署名权</w:t>
            </w:r>
          </w:p>
        </w:tc>
        <w:tc>
          <w:tcPr>
            <w:tcW w:w="10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2025年6月28日交付给甲方；</w:t>
              <w:br/>
            </w:r>
            <w:r>
              <w:rPr>
                <w:rFonts w:eastAsia="等线" w:ascii="Arial" w:cs="Arial" w:hAnsi="Arial"/>
                <w:sz w:val="22"/>
              </w:rPr>
              <w:t>2025年10月30日前乙方完成论文投稿。</w:t>
            </w:r>
          </w:p>
        </w:tc>
        <w:tc>
          <w:tcPr>
            <w:tcW w:w="15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甲方收到投稿机构发送的论文、期刊提交通知</w:t>
            </w:r>
          </w:p>
        </w:tc>
        <w:tc>
          <w:tcPr>
            <w:tcW w:w="14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书面通知</w:t>
            </w:r>
          </w:p>
        </w:tc>
      </w:tr>
    </w:tbl>
    <w:p>
      <w:pPr>
        <w:spacing w:before="120" w:after="120" w:line="288" w:lineRule="auto"/>
        <w:ind w:left="0" w:firstLine="420"/>
        <w:jc w:val="left"/>
      </w:pPr>
    </w:p>
    <w:p>
      <w:pPr>
        <w:pStyle w:val="1"/>
        <w:spacing w:before="380" w:after="140" w:line="288" w:lineRule="auto"/>
        <w:ind w:left="0"/>
        <w:jc w:val="left"/>
        <w:outlineLvl w:val="0"/>
      </w:pPr>
      <w:bookmarkStart w:name="heading_15" w:id="15"/>
      <w:r>
        <w:rPr>
          <w:rFonts w:eastAsia="等线" w:ascii="Arial" w:cs="Arial" w:hAnsi="Arial"/>
          <w:b w:val="true"/>
          <w:sz w:val="36"/>
        </w:rPr>
        <w:t>五、前期研究基础</w:t>
      </w:r>
      <w:bookmarkEnd w:id="15"/>
    </w:p>
    <w:p>
      <w:pPr>
        <w:spacing w:before="120" w:after="120" w:line="288" w:lineRule="auto"/>
        <w:ind w:left="0" w:firstLine="420"/>
        <w:jc w:val="left"/>
      </w:pPr>
      <w:r>
        <w:rPr>
          <w:rFonts w:eastAsia="等线" w:ascii="Arial" w:cs="Arial" w:hAnsi="Arial"/>
          <w:sz w:val="22"/>
        </w:rPr>
        <w:t>本团队在人工智能与智慧医疗领域融合应用方面有着扎实的前期工作基础：</w:t>
      </w:r>
    </w:p>
    <w:p>
      <w:pPr>
        <w:pStyle w:val="2"/>
        <w:spacing w:before="320" w:after="120" w:line="288" w:lineRule="auto"/>
        <w:ind w:left="0"/>
        <w:jc w:val="left"/>
        <w:outlineLvl w:val="1"/>
      </w:pPr>
      <w:bookmarkStart w:name="heading_16" w:id="16"/>
      <w:r>
        <w:rPr>
          <w:rFonts w:eastAsia="等线" w:ascii="Arial" w:cs="Arial" w:hAnsi="Arial"/>
          <w:b w:val="true"/>
          <w:sz w:val="32"/>
        </w:rPr>
        <w:t>1、智能体技术在医疗服务中的应用</w:t>
      </w:r>
      <w:bookmarkEnd w:id="16"/>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drawing>
                <wp:inline distT="0" distR="0" distB="0" distL="0">
                  <wp:extent cx="2476500" cy="10953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2476500" cy="1095375"/>
                          </a:xfrm>
                          <a:prstGeom prst="rect">
                            <a:avLst/>
                          </a:prstGeom>
                        </pic:spPr>
                      </pic:pic>
                    </a:graphicData>
                  </a:graphic>
                </wp:inline>
              </w:drawing>
            </w:r>
          </w:p>
        </w:tc>
        <w:tc>
          <w:tcPr>
            <w:tcW w:w="4140" w:type="dxa"/>
            <w:tcMar>
              <w:top w:type="dxa" w:w="60"/>
              <w:left w:type="dxa" w:w="120"/>
              <w:bottom w:type="dxa" w:w="30"/>
              <w:right w:type="dxa" w:w="120"/>
            </w:tcMar>
          </w:tcPr>
          <w:p>
            <w:pPr>
              <w:spacing w:before="120" w:after="120" w:line="288" w:lineRule="auto"/>
              <w:ind w:left="0" w:firstLine="420"/>
              <w:jc w:val="left"/>
            </w:pPr>
            <w:r>
              <w:rPr>
                <w:rFonts w:eastAsia="等线" w:ascii="Arial" w:cs="Arial" w:hAnsi="Arial"/>
                <w:sz w:val="22"/>
              </w:rPr>
              <w:t>本团队与支付宝合作发布了“AI健康管家”，成为首批20多个医疗智能体之一正式入驻其平台。这些智能体涵盖找医生、读报告、陪看诊、问医保、管健康等30多项健康服务，致力于将多模态医疗大模型与数字人技术相结合，为用户提供全面的健康管理服务。其中，北大人民医院血管外科主任医师张韬的医生智能体是首个医生智能体的实例。</w:t>
            </w:r>
          </w:p>
        </w:tc>
      </w:tr>
    </w:tbl>
    <w:p>
      <w:pPr>
        <w:spacing w:before="120" w:after="120" w:line="288" w:lineRule="auto"/>
        <w:ind w:left="0" w:firstLine="420"/>
        <w:jc w:val="left"/>
      </w:pPr>
      <w:r>
        <w:rPr>
          <w:rFonts w:eastAsia="等线" w:ascii="Arial" w:cs="Arial" w:hAnsi="Arial"/>
          <w:sz w:val="22"/>
        </w:rPr>
        <w:t>该智能体通过AI技术，将原本由医助团队负责的工作转化为24小时在线服务，能够帮助患者解答诊前、诊后的疑问，并且在诊后提供报告解读、用药提醒等功能。支付宝的智能体技术不仅在医生与患者间搭建桥梁，还与地方卫健和医保部门、三级医院及重点专科进行合作，共建医疗智能体生态。这种跨越不同医疗层级的智能体协作，有望实现医疗服务的标准化与智能化，推动医疗服务更加便捷高效。</w:t>
      </w:r>
    </w:p>
    <w:p>
      <w:pPr>
        <w:pStyle w:val="2"/>
        <w:spacing w:before="320" w:after="120" w:line="288" w:lineRule="auto"/>
        <w:ind w:left="0"/>
        <w:jc w:val="left"/>
        <w:outlineLvl w:val="1"/>
      </w:pPr>
      <w:bookmarkStart w:name="heading_17" w:id="17"/>
      <w:r>
        <w:rPr>
          <w:rFonts w:eastAsia="等线" w:ascii="Arial" w:cs="Arial" w:hAnsi="Arial"/>
          <w:b w:val="true"/>
          <w:sz w:val="32"/>
        </w:rPr>
        <w:t>2、一体化智慧诊疗平台的建设</w:t>
      </w:r>
      <w:bookmarkEnd w:id="17"/>
    </w:p>
    <w:p>
      <w:pPr>
        <w:spacing w:before="120" w:after="120" w:line="288" w:lineRule="auto"/>
        <w:ind w:left="0" w:firstLine="420"/>
        <w:jc w:val="left"/>
      </w:pPr>
      <w:r>
        <w:rPr>
          <w:rFonts w:eastAsia="等线" w:ascii="Arial" w:cs="Arial" w:hAnsi="Arial"/>
          <w:sz w:val="22"/>
        </w:rPr>
        <w:t>团队前期设计和负责北京市西城区资助的“心血管源性老年胸痛患者的一体化数字诊疗智能服务平台”建设，提出了医院-社区联动的心血管源性老年胸痛患者机器辅助标准化诊断、规范治疗系统、智能化早期预警、疾病全周期监测数字诊疗模式。</w:t>
      </w:r>
    </w:p>
    <w:p>
      <w:pPr>
        <w:pStyle w:val="2"/>
        <w:spacing w:before="320" w:after="120" w:line="288" w:lineRule="auto"/>
        <w:ind w:left="0"/>
        <w:jc w:val="left"/>
        <w:outlineLvl w:val="1"/>
      </w:pPr>
      <w:bookmarkStart w:name="heading_18" w:id="18"/>
      <w:r>
        <w:rPr>
          <w:rFonts w:eastAsia="等线" w:ascii="Arial" w:cs="Arial" w:hAnsi="Arial"/>
          <w:b w:val="true"/>
          <w:sz w:val="32"/>
        </w:rPr>
        <w:t>六、研究场地及数据管理</w:t>
      </w:r>
      <w:bookmarkEnd w:id="18"/>
    </w:p>
    <w:p>
      <w:pPr>
        <w:pStyle w:val="2"/>
        <w:spacing w:before="320" w:after="120" w:line="288" w:lineRule="auto"/>
        <w:ind w:left="0"/>
        <w:jc w:val="left"/>
        <w:outlineLvl w:val="1"/>
      </w:pPr>
      <w:bookmarkStart w:name="heading_19" w:id="19"/>
      <w:r>
        <w:rPr>
          <w:rFonts w:eastAsia="等线" w:ascii="Arial" w:cs="Arial" w:hAnsi="Arial"/>
          <w:b w:val="true"/>
          <w:sz w:val="32"/>
        </w:rPr>
        <w:t>1、数据采集场所</w:t>
      </w:r>
      <w:bookmarkEnd w:id="19"/>
    </w:p>
    <w:p>
      <w:pPr>
        <w:spacing w:before="120" w:after="120" w:line="288" w:lineRule="auto"/>
        <w:ind w:left="0" w:firstLine="420"/>
        <w:jc w:val="left"/>
      </w:pPr>
      <w:r>
        <w:rPr>
          <w:rFonts w:eastAsia="等线" w:ascii="Arial" w:cs="Arial" w:hAnsi="Arial"/>
          <w:sz w:val="22"/>
        </w:rPr>
        <w:t>参与者的招募和数据采集工作将在北京大学人民医院西直门院区血管外科病房、心血管内科病房、老年科病房以及北京大学人民医院健康管理中心进行。</w:t>
      </w:r>
    </w:p>
    <w:p>
      <w:pPr>
        <w:pStyle w:val="2"/>
        <w:spacing w:before="320" w:after="120" w:line="288" w:lineRule="auto"/>
        <w:ind w:left="0"/>
        <w:jc w:val="left"/>
        <w:outlineLvl w:val="1"/>
      </w:pPr>
      <w:bookmarkStart w:name="heading_20" w:id="20"/>
      <w:r>
        <w:rPr>
          <w:rFonts w:eastAsia="等线" w:ascii="Arial" w:cs="Arial" w:hAnsi="Arial"/>
          <w:b w:val="true"/>
          <w:sz w:val="32"/>
        </w:rPr>
        <w:t>2、数据管理</w:t>
      </w:r>
      <w:bookmarkEnd w:id="20"/>
    </w:p>
    <w:p>
      <w:pPr>
        <w:spacing w:before="120" w:after="120" w:line="288" w:lineRule="auto"/>
        <w:ind w:left="0" w:firstLine="420"/>
        <w:jc w:val="left"/>
      </w:pPr>
      <w:r>
        <w:rPr>
          <w:rFonts w:eastAsia="等线" w:ascii="Arial" w:cs="Arial" w:hAnsi="Arial"/>
          <w:sz w:val="22"/>
        </w:rPr>
        <w:t>（1）参与者报告表及数据库的设计</w:t>
      </w:r>
    </w:p>
    <w:p>
      <w:pPr>
        <w:spacing w:before="120" w:after="120" w:line="288" w:lineRule="auto"/>
        <w:ind w:left="0" w:firstLine="420"/>
        <w:jc w:val="left"/>
      </w:pPr>
      <w:r>
        <w:rPr>
          <w:rFonts w:eastAsia="等线" w:ascii="Arial" w:cs="Arial" w:hAnsi="Arial"/>
          <w:sz w:val="22"/>
        </w:rPr>
        <w:t>开发电子病例报告表（eCRF），用于详细记录每个参与者的研究数据，包括基线特征、实验参数和跟踪结果。</w:t>
      </w:r>
    </w:p>
    <w:p>
      <w:pPr>
        <w:spacing w:before="120" w:after="120" w:line="288" w:lineRule="auto"/>
        <w:ind w:left="0" w:firstLine="420"/>
        <w:jc w:val="left"/>
      </w:pPr>
      <w:r>
        <w:rPr>
          <w:rFonts w:eastAsia="等线" w:ascii="Arial" w:cs="Arial" w:hAnsi="Arial"/>
          <w:sz w:val="22"/>
        </w:rPr>
        <w:t>数据库设计将支持多级用户访问权限，确保数据的安全性和完整性。数据库将包括数据加密和安全备份功能。</w:t>
      </w:r>
    </w:p>
    <w:p>
      <w:pPr>
        <w:spacing w:before="120" w:after="120" w:line="288" w:lineRule="auto"/>
        <w:ind w:left="0" w:firstLine="420"/>
        <w:jc w:val="left"/>
      </w:pPr>
      <w:r>
        <w:rPr>
          <w:rFonts w:eastAsia="等线" w:ascii="Arial" w:cs="Arial" w:hAnsi="Arial"/>
          <w:sz w:val="22"/>
        </w:rPr>
        <w:t>（2）数据接收与录入</w:t>
      </w:r>
    </w:p>
    <w:p>
      <w:pPr>
        <w:spacing w:before="120" w:after="120" w:line="288" w:lineRule="auto"/>
        <w:ind w:left="0" w:firstLine="420"/>
        <w:jc w:val="left"/>
      </w:pPr>
      <w:r>
        <w:rPr>
          <w:rFonts w:eastAsia="等线" w:ascii="Arial" w:cs="Arial" w:hAnsi="Arial"/>
          <w:sz w:val="22"/>
        </w:rPr>
        <w:t>所有数据，包括实验室结果和临床数据，将通过安全的网络平台输入到eCRF。数据录入过程中，输入者必须进行身份验证，以确保数据来源的安全和可靠性。</w:t>
      </w:r>
    </w:p>
    <w:p>
      <w:pPr>
        <w:spacing w:before="120" w:after="120" w:line="288" w:lineRule="auto"/>
        <w:ind w:left="0" w:firstLine="420"/>
        <w:jc w:val="left"/>
      </w:pPr>
      <w:r>
        <w:rPr>
          <w:rFonts w:eastAsia="等线" w:ascii="Arial" w:cs="Arial" w:hAnsi="Arial"/>
          <w:sz w:val="22"/>
        </w:rPr>
        <w:t>（3）数据核查与审核</w:t>
      </w:r>
    </w:p>
    <w:p>
      <w:pPr>
        <w:spacing w:before="120" w:after="120" w:line="288" w:lineRule="auto"/>
        <w:ind w:left="0" w:firstLine="420"/>
        <w:jc w:val="left"/>
      </w:pPr>
      <w:r>
        <w:rPr>
          <w:rFonts w:eastAsia="等线" w:ascii="Arial" w:cs="Arial" w:hAnsi="Arial"/>
          <w:sz w:val="22"/>
        </w:rPr>
        <w:t>数据管理团队将定期进行数据核查，核实数据录入的准确性和完整性。此外，将通过软件自动检测可能的数据异常或错误，以便及时更正。</w:t>
      </w:r>
    </w:p>
    <w:p>
      <w:pPr>
        <w:spacing w:before="120" w:after="120" w:line="288" w:lineRule="auto"/>
        <w:ind w:left="0" w:firstLine="420"/>
        <w:jc w:val="left"/>
      </w:pPr>
      <w:r>
        <w:rPr>
          <w:rFonts w:eastAsia="等线" w:ascii="Arial" w:cs="Arial" w:hAnsi="Arial"/>
          <w:sz w:val="22"/>
        </w:rPr>
        <w:t>定期的数据审核会议将评估数据质量，并讨论必要的数据清理工作。</w:t>
      </w:r>
    </w:p>
    <w:p>
      <w:pPr>
        <w:spacing w:before="120" w:after="120" w:line="288" w:lineRule="auto"/>
        <w:ind w:left="0" w:firstLine="420"/>
        <w:jc w:val="left"/>
      </w:pPr>
      <w:r>
        <w:rPr>
          <w:rFonts w:eastAsia="等线" w:ascii="Arial" w:cs="Arial" w:hAnsi="Arial"/>
          <w:sz w:val="22"/>
        </w:rPr>
        <w:t>（4）数据库锁定</w:t>
      </w:r>
    </w:p>
    <w:p>
      <w:pPr>
        <w:spacing w:before="120" w:after="120" w:line="288" w:lineRule="auto"/>
        <w:ind w:left="0" w:firstLine="420"/>
        <w:jc w:val="left"/>
      </w:pPr>
      <w:r>
        <w:rPr>
          <w:rFonts w:eastAsia="等线" w:ascii="Arial" w:cs="Arial" w:hAnsi="Arial"/>
          <w:sz w:val="22"/>
        </w:rPr>
        <w:t>研究数据收集完毕后，数据库将进行锁定，此后不允许对数据库进行任何修改。锁定前，数据管理团队将进行最后一次全面审查，确保数据的准确性和完整性。</w:t>
      </w:r>
    </w:p>
    <w:p>
      <w:pPr>
        <w:spacing w:before="120" w:after="120" w:line="288" w:lineRule="auto"/>
        <w:ind w:left="0" w:firstLine="420"/>
        <w:jc w:val="left"/>
      </w:pPr>
      <w:r>
        <w:rPr>
          <w:rFonts w:eastAsia="等线" w:ascii="Arial" w:cs="Arial" w:hAnsi="Arial"/>
          <w:sz w:val="22"/>
        </w:rPr>
        <w:t>（5）数据导出及传输</w:t>
      </w:r>
    </w:p>
    <w:p>
      <w:pPr>
        <w:spacing w:before="120" w:after="120" w:line="288" w:lineRule="auto"/>
        <w:ind w:left="0" w:firstLine="420"/>
        <w:jc w:val="left"/>
      </w:pPr>
      <w:r>
        <w:rPr>
          <w:rFonts w:eastAsia="等线" w:ascii="Arial" w:cs="Arial" w:hAnsi="Arial"/>
          <w:sz w:val="22"/>
        </w:rPr>
        <w:t>数据导出将通过安全的方法进行，确保数据在传输过程中的安全性。所有数据传输都将进行加密处理，只有授权用户才能访问导出的数据。</w:t>
      </w:r>
    </w:p>
    <w:p>
      <w:pPr>
        <w:spacing w:before="120" w:after="120" w:line="288" w:lineRule="auto"/>
        <w:ind w:left="0" w:firstLine="420"/>
        <w:jc w:val="left"/>
      </w:pPr>
      <w:r>
        <w:rPr>
          <w:rFonts w:eastAsia="等线" w:ascii="Arial" w:cs="Arial" w:hAnsi="Arial"/>
          <w:sz w:val="22"/>
        </w:rPr>
        <w:t>（6）数据及数据管理文件的归档</w:t>
      </w:r>
    </w:p>
    <w:p>
      <w:pPr>
        <w:spacing w:before="120" w:after="120" w:line="288" w:lineRule="auto"/>
        <w:ind w:left="0" w:firstLine="420"/>
        <w:jc w:val="left"/>
      </w:pPr>
      <w:r>
        <w:rPr>
          <w:rFonts w:eastAsia="等线" w:ascii="Arial" w:cs="Arial" w:hAnsi="Arial"/>
          <w:sz w:val="22"/>
        </w:rPr>
        <w:t>完成研究后，所有相关数据和管理文件将归档保存在受监管的电子存储系统中。归档数据将按照国家法律和研究机构的规定保存特定年限。</w:t>
      </w:r>
    </w:p>
    <w:p>
      <w:pPr>
        <w:spacing w:before="120" w:after="120" w:line="288" w:lineRule="auto"/>
        <w:ind w:left="0" w:firstLine="420"/>
        <w:jc w:val="left"/>
      </w:pPr>
      <w:r>
        <w:rPr>
          <w:rFonts w:eastAsia="等线" w:ascii="Arial" w:cs="Arial" w:hAnsi="Arial"/>
          <w:sz w:val="22"/>
        </w:rPr>
        <w:t>归档过程将记录每项数据的详细来源和存档日期，确保未来可以追溯并使用这些数据。</w:t>
      </w:r>
    </w:p>
    <w:p>
      <w:pPr>
        <w:pStyle w:val="2"/>
        <w:spacing w:before="320" w:after="120" w:line="288" w:lineRule="auto"/>
        <w:ind w:left="0"/>
        <w:jc w:val="left"/>
        <w:outlineLvl w:val="1"/>
      </w:pPr>
      <w:bookmarkStart w:name="heading_21" w:id="21"/>
      <w:r>
        <w:rPr>
          <w:rFonts w:eastAsia="等线" w:ascii="Arial" w:cs="Arial" w:hAnsi="Arial"/>
          <w:b w:val="true"/>
          <w:sz w:val="32"/>
        </w:rPr>
        <w:t>七、受试者保护</w:t>
      </w:r>
      <w:bookmarkEnd w:id="21"/>
    </w:p>
    <w:p>
      <w:pPr>
        <w:spacing w:before="120" w:after="120" w:line="288" w:lineRule="auto"/>
        <w:ind w:left="0" w:firstLine="420"/>
        <w:jc w:val="left"/>
      </w:pPr>
      <w:r>
        <w:rPr>
          <w:rFonts w:eastAsia="等线" w:ascii="Arial" w:cs="Arial" w:hAnsi="Arial"/>
          <w:b w:val="true"/>
          <w:sz w:val="22"/>
        </w:rPr>
        <w:t>1、伦理审查与批准</w:t>
      </w:r>
    </w:p>
    <w:p>
      <w:pPr>
        <w:spacing w:before="120" w:after="120" w:line="288" w:lineRule="auto"/>
        <w:ind w:left="0" w:firstLine="420"/>
        <w:jc w:val="left"/>
      </w:pPr>
      <w:r>
        <w:rPr>
          <w:rFonts w:eastAsia="等线" w:ascii="Arial" w:cs="Arial" w:hAnsi="Arial"/>
          <w:sz w:val="22"/>
        </w:rPr>
        <w:t>本研究通过北京大学人民医院伦理委员会审查并批准后方可开展。所有研究活动均遵守《赫尔辛基宣言》及国内外相关伦理指导原则。</w:t>
      </w:r>
    </w:p>
    <w:p>
      <w:pPr>
        <w:spacing w:before="120" w:after="120" w:line="288" w:lineRule="auto"/>
        <w:ind w:left="0" w:firstLine="420"/>
        <w:jc w:val="left"/>
      </w:pPr>
      <w:r>
        <w:rPr>
          <w:rFonts w:eastAsia="等线" w:ascii="Arial" w:cs="Arial" w:hAnsi="Arial"/>
          <w:b w:val="true"/>
          <w:sz w:val="22"/>
        </w:rPr>
        <w:t>2、知情同意</w:t>
      </w:r>
    </w:p>
    <w:p>
      <w:pPr>
        <w:spacing w:before="120" w:after="120" w:line="288" w:lineRule="auto"/>
        <w:ind w:left="0" w:firstLine="420"/>
        <w:jc w:val="left"/>
      </w:pPr>
      <w:r>
        <w:rPr>
          <w:rFonts w:eastAsia="等线" w:ascii="Arial" w:cs="Arial" w:hAnsi="Arial"/>
          <w:sz w:val="22"/>
        </w:rPr>
        <w:t>研究团队将在个人面谈中向潜在参与者详细解释研究的目的、预期的利益、可能的风险、参与者的权利及保密措施，详细说明撤回同意的流程及联系方式，并与参与者签署知情同意书，参与者将获得知情同意书的副本。研究人员将确保参与者在签署同意书前，充分理解研究内容并自愿参与。</w:t>
      </w:r>
    </w:p>
    <w:p>
      <w:pPr>
        <w:spacing w:before="120" w:after="120" w:line="288" w:lineRule="auto"/>
        <w:ind w:left="0" w:firstLine="420"/>
        <w:jc w:val="left"/>
      </w:pPr>
      <w:r>
        <w:rPr>
          <w:rFonts w:eastAsia="等线" w:ascii="Arial" w:cs="Arial" w:hAnsi="Arial"/>
          <w:b w:val="true"/>
          <w:sz w:val="22"/>
        </w:rPr>
        <w:t>3、 数据保护和隐私</w:t>
      </w:r>
    </w:p>
    <w:p>
      <w:pPr>
        <w:spacing w:before="120" w:after="120" w:line="288" w:lineRule="auto"/>
        <w:ind w:left="0" w:firstLine="420"/>
        <w:jc w:val="left"/>
      </w:pPr>
      <w:r>
        <w:rPr>
          <w:rFonts w:eastAsia="等线" w:ascii="Arial" w:cs="Arial" w:hAnsi="Arial"/>
          <w:sz w:val="22"/>
        </w:rPr>
        <w:t>所有参与者的信息均进行编码处理，研究数据存储在受密码保护的电子设备中，仅主要研究人员和授权人员可访问。所有个人识别信息在数据分析前将被匿名处理，研究结果仅以统计数据形式发布，确保无法追溯至个人。</w:t>
      </w:r>
    </w:p>
    <w:p>
      <w:pPr>
        <w:spacing w:before="120" w:after="120" w:line="288" w:lineRule="auto"/>
        <w:ind w:left="0" w:firstLine="420"/>
        <w:jc w:val="left"/>
      </w:pPr>
      <w:r>
        <w:rPr>
          <w:rFonts w:eastAsia="等线" w:ascii="Arial" w:cs="Arial" w:hAnsi="Arial"/>
          <w:b w:val="true"/>
          <w:sz w:val="22"/>
        </w:rPr>
        <w:t>4、受试者权益</w:t>
      </w:r>
    </w:p>
    <w:p>
      <w:pPr>
        <w:spacing w:before="120" w:after="120" w:line="288" w:lineRule="auto"/>
        <w:ind w:left="0" w:firstLine="420"/>
        <w:jc w:val="left"/>
      </w:pPr>
      <w:r>
        <w:rPr>
          <w:rFonts w:eastAsia="等线" w:ascii="Arial" w:cs="Arial" w:hAnsi="Arial"/>
          <w:sz w:val="22"/>
        </w:rPr>
        <w:t>研究过程中，任何潜在的健康风险都将立即通报给参与者。参与者有权随时了解研究进展及初步结果。研究结束后，所有参与者都可获得研究结果的总结报告。</w:t>
      </w:r>
    </w:p>
    <w:p>
      <w:pPr>
        <w:spacing w:before="120" w:after="120" w:line="288" w:lineRule="auto"/>
        <w:ind w:left="0" w:firstLine="420"/>
        <w:jc w:val="left"/>
      </w:pPr>
      <w:r>
        <w:rPr>
          <w:rFonts w:eastAsia="等线" w:ascii="Arial" w:cs="Arial" w:hAnsi="Arial"/>
          <w:b w:val="true"/>
          <w:sz w:val="22"/>
        </w:rPr>
        <w:t>5、 潜在风险与益处</w:t>
      </w:r>
    </w:p>
    <w:p>
      <w:pPr>
        <w:spacing w:before="120" w:after="120" w:line="288" w:lineRule="auto"/>
        <w:ind w:left="0" w:firstLine="420"/>
        <w:jc w:val="left"/>
      </w:pPr>
      <w:r>
        <w:rPr>
          <w:rFonts w:eastAsia="等线" w:ascii="Arial" w:cs="Arial" w:hAnsi="Arial"/>
          <w:sz w:val="22"/>
        </w:rPr>
        <w:t>本研究的风险极低，主要可能包括在问卷调查中的心理不适、采集研究指标过程中的身体不适，以及因参与研究造成的时间损失。</w:t>
      </w:r>
    </w:p>
    <w:p>
      <w:pPr>
        <w:spacing w:before="120" w:after="120" w:line="288" w:lineRule="auto"/>
        <w:ind w:left="0" w:firstLine="420"/>
        <w:jc w:val="left"/>
      </w:pPr>
      <w:r>
        <w:rPr>
          <w:rFonts w:eastAsia="等线" w:ascii="Arial" w:cs="Arial" w:hAnsi="Arial"/>
          <w:sz w:val="22"/>
        </w:rPr>
        <w:t>研究团队承诺采取所有必要措施以最小化参与者在研究中的任何可能的不适。当参与者因参与本研究出现任何不适，研究团队承诺立即停止对参与者继续进行研究，必要时采取相应措施以保障参与者身心健康。</w:t>
      </w:r>
    </w:p>
    <w:p>
      <w:pPr>
        <w:spacing w:before="120" w:after="120" w:line="288" w:lineRule="auto"/>
        <w:ind w:left="0" w:firstLine="420"/>
        <w:jc w:val="left"/>
      </w:pPr>
      <w:r>
        <w:rPr>
          <w:rFonts w:eastAsia="等线" w:ascii="Arial" w:cs="Arial" w:hAnsi="Arial"/>
          <w:sz w:val="22"/>
        </w:rPr>
        <w:t>预期的益处包括为本研究提供的血管健康评估，提高参与者对血管健康的关注度。</w:t>
      </w:r>
    </w:p>
    <w:p>
      <w:pPr>
        <w:spacing w:before="120" w:after="120" w:line="288" w:lineRule="auto"/>
        <w:ind w:left="0" w:firstLine="420"/>
        <w:jc w:val="left"/>
      </w:pPr>
      <w:r>
        <w:rPr>
          <w:rFonts w:eastAsia="等线" w:ascii="Arial" w:cs="Arial" w:hAnsi="Arial"/>
          <w:b w:val="true"/>
          <w:sz w:val="22"/>
        </w:rPr>
        <w:t>6、 监督与质量控制</w:t>
      </w:r>
    </w:p>
    <w:p>
      <w:pPr>
        <w:spacing w:before="120" w:after="120" w:line="288" w:lineRule="auto"/>
        <w:ind w:left="0" w:firstLine="420"/>
        <w:jc w:val="left"/>
      </w:pPr>
      <w:r>
        <w:rPr>
          <w:rFonts w:eastAsia="等线" w:ascii="Arial" w:cs="Arial" w:hAnsi="Arial"/>
          <w:sz w:val="22"/>
        </w:rPr>
        <w:t>研究将设立一个独立的数据监测委员会，负责监督研究的整个过程，确保数据的准确性和完整性。研究数据将定期接受审计，以保持研究质量。</w:t>
      </w:r>
    </w:p>
    <w:p>
      <w:pPr>
        <w:spacing w:before="120" w:after="120" w:line="288" w:lineRule="auto"/>
        <w:ind w:left="0" w:firstLine="420"/>
        <w:jc w:val="left"/>
      </w:pPr>
      <w:r>
        <w:rPr>
          <w:rFonts w:eastAsia="等线" w:ascii="Arial" w:cs="Arial" w:hAnsi="Arial"/>
          <w:b w:val="true"/>
          <w:sz w:val="22"/>
        </w:rPr>
        <w:t>7、 参与者撤回</w:t>
      </w:r>
    </w:p>
    <w:p>
      <w:pPr>
        <w:spacing w:before="120" w:after="120" w:line="288" w:lineRule="auto"/>
        <w:ind w:left="0" w:firstLine="420"/>
        <w:jc w:val="left"/>
      </w:pPr>
      <w:r>
        <w:rPr>
          <w:rFonts w:eastAsia="等线" w:ascii="Arial" w:cs="Arial" w:hAnsi="Arial"/>
          <w:sz w:val="22"/>
        </w:rPr>
        <w:t>参与者可以在研究任何阶段无条件撤回其参与，不会因此受到任何形式的惩罚或不利影响。撤回后，除非参与者另有指示，否则其数据将从研究记录中删除。</w:t>
      </w:r>
    </w:p>
    <w:p>
      <w:pPr>
        <w:spacing w:before="120" w:after="120" w:line="288" w:lineRule="auto"/>
        <w:ind w:left="0" w:firstLine="420"/>
        <w:jc w:val="left"/>
      </w:pPr>
      <w:r>
        <w:rPr>
          <w:rFonts w:eastAsia="等线" w:ascii="Arial" w:cs="Arial" w:hAnsi="Arial"/>
          <w:b w:val="true"/>
          <w:sz w:val="22"/>
        </w:rPr>
        <w:t>8、 特殊人群保护</w:t>
      </w:r>
    </w:p>
    <w:p>
      <w:pPr>
        <w:spacing w:before="120" w:after="120" w:line="288" w:lineRule="auto"/>
        <w:ind w:left="0" w:firstLine="420"/>
        <w:jc w:val="left"/>
      </w:pPr>
      <w:r>
        <w:rPr>
          <w:rFonts w:eastAsia="等线" w:ascii="Arial" w:cs="Arial" w:hAnsi="Arial"/>
          <w:sz w:val="22"/>
        </w:rPr>
        <w:t>本研究不涉及孕妇、儿童、无民事行为能力的老人及其他特殊人群（如在押人员）参与。</w:t>
      </w:r>
    </w:p>
    <w:p>
      <w:pPr>
        <w:pStyle w:val="1"/>
        <w:spacing w:before="380" w:after="140" w:line="288" w:lineRule="auto"/>
        <w:ind w:left="0"/>
        <w:jc w:val="left"/>
        <w:outlineLvl w:val="0"/>
      </w:pPr>
      <w:bookmarkStart w:name="heading_22" w:id="22"/>
      <w:r>
        <w:rPr>
          <w:rFonts w:eastAsia="等线" w:ascii="Arial" w:cs="Arial" w:hAnsi="Arial"/>
          <w:b w:val="true"/>
          <w:sz w:val="36"/>
        </w:rPr>
        <w:t>八、研究管理</w:t>
      </w:r>
      <w:bookmarkEnd w:id="22"/>
    </w:p>
    <w:p>
      <w:pPr>
        <w:pStyle w:val="2"/>
        <w:spacing w:before="320" w:after="120" w:line="288" w:lineRule="auto"/>
        <w:ind w:left="0"/>
        <w:jc w:val="left"/>
        <w:outlineLvl w:val="1"/>
      </w:pPr>
      <w:bookmarkStart w:name="heading_23" w:id="23"/>
      <w:r>
        <w:rPr>
          <w:rFonts w:eastAsia="等线" w:ascii="Arial" w:cs="Arial" w:hAnsi="Arial"/>
          <w:b w:val="true"/>
          <w:sz w:val="32"/>
        </w:rPr>
        <w:t>1、项目质量控制</w:t>
      </w:r>
      <w:bookmarkEnd w:id="23"/>
    </w:p>
    <w:p>
      <w:pPr>
        <w:pStyle w:val="3"/>
        <w:spacing w:before="300" w:after="120" w:line="288" w:lineRule="auto"/>
        <w:ind w:left="0"/>
        <w:jc w:val="left"/>
        <w:outlineLvl w:val="2"/>
      </w:pPr>
      <w:bookmarkStart w:name="heading_24" w:id="24"/>
      <w:r>
        <w:rPr>
          <w:rFonts w:eastAsia="等线" w:ascii="Arial" w:cs="Arial" w:hAnsi="Arial"/>
          <w:b w:val="true"/>
          <w:sz w:val="30"/>
        </w:rPr>
        <w:t>（1）研究准备阶段</w:t>
      </w:r>
      <w:bookmarkEnd w:id="24"/>
    </w:p>
    <w:p>
      <w:pPr>
        <w:spacing w:before="120" w:after="120" w:line="288" w:lineRule="auto"/>
        <w:ind w:left="0" w:firstLine="420"/>
        <w:jc w:val="left"/>
      </w:pPr>
      <w:r>
        <w:rPr>
          <w:rFonts w:eastAsia="等线" w:ascii="Arial" w:cs="Arial" w:hAnsi="Arial"/>
          <w:sz w:val="22"/>
        </w:rPr>
        <w:t>① 研究设计与计划</w:t>
      </w:r>
    </w:p>
    <w:p>
      <w:pPr>
        <w:spacing w:before="120" w:after="120" w:line="288" w:lineRule="auto"/>
        <w:ind w:left="0" w:firstLine="420"/>
        <w:jc w:val="left"/>
      </w:pPr>
      <w:r>
        <w:rPr>
          <w:rFonts w:eastAsia="等线" w:ascii="Arial" w:cs="Arial" w:hAnsi="Arial"/>
          <w:sz w:val="22"/>
        </w:rPr>
        <w:t>目标明确：确保研究的目标、假设和方法论清晰明确，所有研究人员都需了解并同意研究目标。确保研究的设计符合伦理要求，所有研究手段和数据收集方式都有合理的科学依据。</w:t>
      </w:r>
    </w:p>
    <w:p>
      <w:pPr>
        <w:spacing w:before="120" w:after="120" w:line="288" w:lineRule="auto"/>
        <w:ind w:left="0" w:firstLine="420"/>
        <w:jc w:val="left"/>
      </w:pPr>
      <w:r>
        <w:rPr>
          <w:rFonts w:eastAsia="等线" w:ascii="Arial" w:cs="Arial" w:hAnsi="Arial"/>
          <w:sz w:val="22"/>
        </w:rPr>
        <w:t>试验设计：根据评估血管硬化的诊断指标，设计适当的对照组和试验组，并根据现有研究数据合理分配样本量，确保统计学意义。</w:t>
      </w:r>
    </w:p>
    <w:p>
      <w:pPr>
        <w:spacing w:before="120" w:after="120" w:line="288" w:lineRule="auto"/>
        <w:ind w:left="0" w:firstLine="420"/>
        <w:jc w:val="left"/>
      </w:pPr>
      <w:r>
        <w:rPr>
          <w:rFonts w:eastAsia="等线" w:ascii="Arial" w:cs="Arial" w:hAnsi="Arial"/>
          <w:sz w:val="22"/>
        </w:rPr>
        <w:t>② 伦理审查与批准</w:t>
      </w:r>
    </w:p>
    <w:p>
      <w:pPr>
        <w:spacing w:before="120" w:after="120" w:line="288" w:lineRule="auto"/>
        <w:ind w:left="0" w:firstLine="420"/>
        <w:jc w:val="left"/>
      </w:pPr>
      <w:r>
        <w:rPr>
          <w:rFonts w:eastAsia="等线" w:ascii="Arial" w:cs="Arial" w:hAnsi="Arial"/>
          <w:sz w:val="22"/>
        </w:rPr>
        <w:t>伦理审查：在试验开始前，所有研究方案需提交至伦理委员会进行审查。获得伦理审查批准后，才能开始招募参与者和进行实验操作。</w:t>
      </w:r>
    </w:p>
    <w:p>
      <w:pPr>
        <w:spacing w:before="120" w:after="120" w:line="288" w:lineRule="auto"/>
        <w:ind w:left="0" w:firstLine="420"/>
        <w:jc w:val="left"/>
      </w:pPr>
      <w:r>
        <w:rPr>
          <w:rFonts w:eastAsia="等线" w:ascii="Arial" w:cs="Arial" w:hAnsi="Arial"/>
          <w:sz w:val="22"/>
        </w:rPr>
        <w:t>知情同意：确保研究过程中所有研究对象的知情同意书已签署并归档，以确保患者的知情同意与隐私保护。</w:t>
      </w:r>
    </w:p>
    <w:p>
      <w:pPr>
        <w:spacing w:before="120" w:after="120" w:line="288" w:lineRule="auto"/>
        <w:ind w:left="0" w:firstLine="420"/>
        <w:jc w:val="left"/>
      </w:pPr>
      <w:r>
        <w:rPr>
          <w:rFonts w:eastAsia="等线" w:ascii="Arial" w:cs="Arial" w:hAnsi="Arial"/>
          <w:sz w:val="22"/>
        </w:rPr>
        <w:t>③ 人员培训与职责分配</w:t>
      </w:r>
    </w:p>
    <w:p>
      <w:pPr>
        <w:spacing w:before="120" w:after="120" w:line="288" w:lineRule="auto"/>
        <w:ind w:left="0" w:firstLine="420"/>
        <w:jc w:val="left"/>
      </w:pPr>
      <w:r>
        <w:rPr>
          <w:rFonts w:eastAsia="等线" w:ascii="Arial" w:cs="Arial" w:hAnsi="Arial"/>
          <w:sz w:val="22"/>
        </w:rPr>
        <w:t>人员培训：对所有研究人员进行培训，内容包括试验设计、数据收集和管理、患者安全监控、质量控制标准等。</w:t>
      </w:r>
    </w:p>
    <w:p>
      <w:pPr>
        <w:spacing w:before="120" w:after="120" w:line="288" w:lineRule="auto"/>
        <w:ind w:left="0" w:firstLine="420"/>
        <w:jc w:val="left"/>
      </w:pPr>
      <w:r>
        <w:rPr>
          <w:rFonts w:eastAsia="等线" w:ascii="Arial" w:cs="Arial" w:hAnsi="Arial"/>
          <w:sz w:val="22"/>
        </w:rPr>
        <w:t>职责分配：明确每位团队成员的职责，确保数据录入员、研究协作人员、实验室人员和主治医生等各方面角色的职责与任务清晰分配。</w:t>
      </w:r>
    </w:p>
    <w:p>
      <w:pPr>
        <w:spacing w:before="120" w:after="120" w:line="288" w:lineRule="auto"/>
        <w:ind w:left="0" w:firstLine="420"/>
        <w:jc w:val="left"/>
      </w:pPr>
      <w:r>
        <w:rPr>
          <w:rFonts w:eastAsia="等线" w:ascii="Arial" w:cs="Arial" w:hAnsi="Arial"/>
          <w:sz w:val="22"/>
        </w:rPr>
        <w:t>④ 研究物资准备</w:t>
      </w:r>
    </w:p>
    <w:p>
      <w:pPr>
        <w:spacing w:before="120" w:after="120" w:line="288" w:lineRule="auto"/>
        <w:ind w:left="0" w:firstLine="420"/>
        <w:jc w:val="left"/>
      </w:pPr>
      <w:r>
        <w:rPr>
          <w:rFonts w:eastAsia="等线" w:ascii="Arial" w:cs="Arial" w:hAnsi="Arial"/>
          <w:sz w:val="22"/>
        </w:rPr>
        <w:t>确保研究所需的设备、诊断工具、软件和硬件在研究启动前已充分准备，并完成质量验收，确保研究过程中不因物资缺失或设备故障影响数据质量。</w:t>
      </w:r>
    </w:p>
    <w:p>
      <w:pPr>
        <w:pStyle w:val="3"/>
        <w:spacing w:before="300" w:after="120" w:line="288" w:lineRule="auto"/>
        <w:ind w:left="0"/>
        <w:jc w:val="left"/>
        <w:outlineLvl w:val="2"/>
      </w:pPr>
      <w:bookmarkStart w:name="heading_25" w:id="25"/>
      <w:r>
        <w:rPr>
          <w:rFonts w:eastAsia="等线" w:ascii="Arial" w:cs="Arial" w:hAnsi="Arial"/>
          <w:b w:val="true"/>
          <w:sz w:val="30"/>
        </w:rPr>
        <w:t>（2）研究实施阶段</w:t>
      </w:r>
      <w:bookmarkEnd w:id="25"/>
    </w:p>
    <w:p>
      <w:pPr>
        <w:spacing w:before="120" w:after="120" w:line="288" w:lineRule="auto"/>
        <w:ind w:left="0" w:firstLine="420"/>
        <w:jc w:val="left"/>
      </w:pPr>
      <w:r>
        <w:rPr>
          <w:rFonts w:eastAsia="等线" w:ascii="Arial" w:cs="Arial" w:hAnsi="Arial"/>
          <w:sz w:val="22"/>
        </w:rPr>
        <w:t>① 数据采集的标准化</w:t>
      </w:r>
    </w:p>
    <w:p>
      <w:pPr>
        <w:spacing w:before="120" w:after="120" w:line="288" w:lineRule="auto"/>
        <w:ind w:left="0" w:firstLine="420"/>
        <w:jc w:val="left"/>
      </w:pPr>
      <w:r>
        <w:rPr>
          <w:rFonts w:eastAsia="等线" w:ascii="Arial" w:cs="Arial" w:hAnsi="Arial"/>
          <w:sz w:val="22"/>
        </w:rPr>
        <w:t>标准操作流程（Standard Operation Procedure, SOP）：为每项实验和数据收集环节制定详细的标准操作流程，确保所有研究人员按照统一标准执行操作。统一所有研究人员对于血管健康相关指标的测量方法、频率、时间要求等的标准。</w:t>
      </w:r>
    </w:p>
    <w:p>
      <w:pPr>
        <w:spacing w:before="120" w:after="120" w:line="288" w:lineRule="auto"/>
        <w:ind w:left="0" w:firstLine="420"/>
        <w:jc w:val="left"/>
      </w:pPr>
      <w:r>
        <w:rPr>
          <w:rFonts w:eastAsia="等线" w:ascii="Arial" w:cs="Arial" w:hAnsi="Arial"/>
          <w:sz w:val="22"/>
        </w:rPr>
        <w:t>仪器校准与维护：确保所有试验仪器在研究前经过校准并保持良好运行状态，定期进行检查和维护。</w:t>
      </w:r>
    </w:p>
    <w:p>
      <w:pPr>
        <w:spacing w:before="120" w:after="120" w:line="288" w:lineRule="auto"/>
        <w:ind w:left="0" w:firstLine="420"/>
        <w:jc w:val="left"/>
      </w:pPr>
      <w:r>
        <w:rPr>
          <w:rFonts w:eastAsia="等线" w:ascii="Arial" w:cs="Arial" w:hAnsi="Arial"/>
          <w:sz w:val="22"/>
        </w:rPr>
        <w:t>② 受试者招募与监控</w:t>
      </w:r>
    </w:p>
    <w:p>
      <w:pPr>
        <w:spacing w:before="120" w:after="120" w:line="288" w:lineRule="auto"/>
        <w:ind w:left="0" w:firstLine="420"/>
        <w:jc w:val="left"/>
      </w:pPr>
      <w:r>
        <w:rPr>
          <w:rFonts w:eastAsia="等线" w:ascii="Arial" w:cs="Arial" w:hAnsi="Arial"/>
          <w:sz w:val="22"/>
        </w:rPr>
        <w:t>纳入与排除标准：严格依据研究设计中的纳入标准和排除标准选择参与者，确保实验组和对照组的基本均衡。</w:t>
      </w:r>
    </w:p>
    <w:p>
      <w:pPr>
        <w:spacing w:before="120" w:after="120" w:line="288" w:lineRule="auto"/>
        <w:ind w:left="0" w:firstLine="420"/>
        <w:jc w:val="left"/>
      </w:pPr>
      <w:r>
        <w:rPr>
          <w:rFonts w:eastAsia="等线" w:ascii="Arial" w:cs="Arial" w:hAnsi="Arial"/>
          <w:sz w:val="22"/>
        </w:rPr>
        <w:t>监测：研究期间密切关注参与者的情况，特别是对高风险参与者进行健康监测，确保研究过程中参与者的安全。所有的临床不良事件需及时记录并报告，确保在不影响参与者健康的前提下继续研究。</w:t>
      </w:r>
    </w:p>
    <w:p>
      <w:pPr>
        <w:spacing w:before="120" w:after="120" w:line="288" w:lineRule="auto"/>
        <w:ind w:left="0" w:firstLine="420"/>
        <w:jc w:val="left"/>
      </w:pPr>
      <w:r>
        <w:rPr>
          <w:rFonts w:eastAsia="等线" w:ascii="Arial" w:cs="Arial" w:hAnsi="Arial"/>
          <w:sz w:val="22"/>
        </w:rPr>
        <w:t>③ 数据管理与质量控制</w:t>
      </w:r>
    </w:p>
    <w:p>
      <w:pPr>
        <w:spacing w:before="120" w:after="120" w:line="288" w:lineRule="auto"/>
        <w:ind w:left="0" w:firstLine="420"/>
        <w:jc w:val="left"/>
      </w:pPr>
      <w:r>
        <w:rPr>
          <w:rFonts w:eastAsia="等线" w:ascii="Arial" w:cs="Arial" w:hAnsi="Arial"/>
          <w:sz w:val="22"/>
        </w:rPr>
        <w:t>数据录入与审核：确保数据录入员按照统一的格式与流程进行数据输入，数据审核人员定期检查数据的完整性与准确性，发现问题时及时纠正。</w:t>
      </w:r>
    </w:p>
    <w:p>
      <w:pPr>
        <w:spacing w:before="120" w:after="120" w:line="288" w:lineRule="auto"/>
        <w:ind w:left="0" w:firstLine="420"/>
        <w:jc w:val="left"/>
      </w:pPr>
      <w:r>
        <w:rPr>
          <w:rFonts w:eastAsia="等线" w:ascii="Arial" w:cs="Arial" w:hAnsi="Arial"/>
          <w:sz w:val="22"/>
        </w:rPr>
        <w:t>数据备份与安全：所有数据定期备份，并存储于加密数据库中，确保数据安全性与可追溯性。</w:t>
      </w:r>
    </w:p>
    <w:p>
      <w:pPr>
        <w:spacing w:before="120" w:after="120" w:line="288" w:lineRule="auto"/>
        <w:ind w:left="0" w:firstLine="420"/>
        <w:jc w:val="left"/>
      </w:pPr>
      <w:r>
        <w:rPr>
          <w:rFonts w:eastAsia="等线" w:ascii="Arial" w:cs="Arial" w:hAnsi="Arial"/>
          <w:sz w:val="22"/>
        </w:rPr>
        <w:t>中期质量检查：设立定期的研究质量审查会议，评估研究进展、数据质量及参与者安全，及时发现问题并进行修正。</w:t>
      </w:r>
    </w:p>
    <w:p>
      <w:pPr>
        <w:pStyle w:val="2"/>
        <w:spacing w:before="320" w:after="120" w:line="288" w:lineRule="auto"/>
        <w:ind w:left="0"/>
        <w:jc w:val="left"/>
        <w:outlineLvl w:val="1"/>
      </w:pPr>
      <w:bookmarkStart w:name="heading_26" w:id="26"/>
      <w:r>
        <w:rPr>
          <w:rFonts w:eastAsia="等线" w:ascii="Arial" w:cs="Arial" w:hAnsi="Arial"/>
          <w:b w:val="true"/>
          <w:sz w:val="32"/>
        </w:rPr>
        <w:t>2、研究提前终止的管理</w:t>
      </w:r>
      <w:bookmarkEnd w:id="26"/>
    </w:p>
    <w:p>
      <w:pPr>
        <w:spacing w:before="120" w:after="120" w:line="288" w:lineRule="auto"/>
        <w:ind w:left="0" w:firstLine="420"/>
        <w:jc w:val="left"/>
      </w:pPr>
      <w:r>
        <w:rPr>
          <w:rFonts w:eastAsia="等线" w:ascii="Arial" w:cs="Arial" w:hAnsi="Arial"/>
          <w:sz w:val="22"/>
        </w:rPr>
        <w:t>（1）研究提前中止的原则</w:t>
      </w:r>
    </w:p>
    <w:p>
      <w:pPr>
        <w:spacing w:before="120" w:after="120" w:line="288" w:lineRule="auto"/>
        <w:ind w:left="0" w:firstLine="420"/>
        <w:jc w:val="left"/>
      </w:pPr>
      <w:r>
        <w:rPr>
          <w:rFonts w:eastAsia="等线" w:ascii="Arial" w:cs="Arial" w:hAnsi="Arial"/>
          <w:sz w:val="22"/>
        </w:rPr>
        <w:t>① 安全性问题：若研究过程中发现试验的安全性问题，可能对参与者健康产生风险时，立即停止研究并评估风险。</w:t>
      </w:r>
    </w:p>
    <w:p>
      <w:pPr>
        <w:spacing w:before="120" w:after="120" w:line="288" w:lineRule="auto"/>
        <w:ind w:left="0" w:firstLine="420"/>
        <w:jc w:val="left"/>
      </w:pPr>
      <w:r>
        <w:rPr>
          <w:rFonts w:eastAsia="等线" w:ascii="Arial" w:cs="Arial" w:hAnsi="Arial"/>
          <w:sz w:val="22"/>
        </w:rPr>
        <w:t>② 伦理和合规问题：若在研究过程中出现伦理审查问题或合规性问题，且无法及时纠正时，研究可能需要提前终止。</w:t>
      </w:r>
    </w:p>
    <w:p>
      <w:pPr>
        <w:spacing w:before="120" w:after="120" w:line="288" w:lineRule="auto"/>
        <w:ind w:left="0" w:firstLine="420"/>
        <w:jc w:val="left"/>
      </w:pPr>
      <w:r>
        <w:rPr>
          <w:rFonts w:eastAsia="等线" w:ascii="Arial" w:cs="Arial" w:hAnsi="Arial"/>
          <w:sz w:val="22"/>
        </w:rPr>
        <w:t>（2）提前中止的处理办法</w:t>
      </w:r>
    </w:p>
    <w:p>
      <w:pPr>
        <w:spacing w:before="120" w:after="120" w:line="288" w:lineRule="auto"/>
        <w:ind w:left="0" w:firstLine="420"/>
        <w:jc w:val="left"/>
      </w:pPr>
      <w:r>
        <w:rPr>
          <w:rFonts w:eastAsia="等线" w:ascii="Arial" w:cs="Arial" w:hAnsi="Arial"/>
          <w:sz w:val="22"/>
        </w:rPr>
        <w:t>① 数据保护：即使研究提前终止，所有已收集的数据也应保护和管理，确保参与者的隐私和数据的完整性不受影响。</w:t>
      </w:r>
    </w:p>
    <w:p>
      <w:pPr>
        <w:spacing w:before="120" w:after="120" w:line="288" w:lineRule="auto"/>
        <w:ind w:left="0" w:firstLine="420"/>
        <w:jc w:val="left"/>
      </w:pPr>
      <w:r>
        <w:rPr>
          <w:rFonts w:eastAsia="等线" w:ascii="Arial" w:cs="Arial" w:hAnsi="Arial"/>
          <w:sz w:val="22"/>
        </w:rPr>
        <w:t>② 通知参与者：提前终止研究时，及时通知所有参与者，解释研究终止的原因，并为其提供必要的后续医疗支持。</w:t>
      </w:r>
    </w:p>
    <w:p>
      <w:pPr>
        <w:spacing w:before="120" w:after="120" w:line="288" w:lineRule="auto"/>
        <w:ind w:left="0" w:firstLine="420"/>
        <w:jc w:val="left"/>
      </w:pPr>
      <w:r>
        <w:rPr>
          <w:rFonts w:eastAsia="等线" w:ascii="Arial" w:cs="Arial" w:hAnsi="Arial"/>
          <w:sz w:val="22"/>
        </w:rPr>
        <w:t>③ 伦理报告与审查：研究提前中止后，团队向伦理委员会报告中止原因，并根据伦理要求进行后续处理。</w:t>
      </w:r>
    </w:p>
    <w:p>
      <w:pPr>
        <w:numPr>
          <w:numId w:val="10"/>
        </w:numPr>
        <w:spacing w:before="120" w:after="120" w:line="288" w:lineRule="auto"/>
        <w:ind w:left="453"/>
        <w:jc w:val="left"/>
      </w:pPr>
      <w:r>
        <w:rPr>
          <w:rFonts w:eastAsia="等线" w:ascii="Arial" w:cs="Arial" w:hAnsi="Arial"/>
          <w:sz w:val="22"/>
        </w:rPr>
        <w:t>结果发布与透明度：对于提前终止的研究，研究团队公正、透明地发布研究结果，并在科学期刊或其他平台上对研究中止原因进行详细说明。</w:t>
      </w:r>
    </w:p>
    <w:p>
      <w:pPr>
        <w:numPr>
          <w:numId w:val="11"/>
        </w:numPr>
        <w:spacing w:before="120" w:after="120" w:line="288" w:lineRule="auto"/>
        <w:ind w:left="0"/>
        <w:jc w:val="left"/>
      </w:pPr>
      <w:r>
        <w:rPr>
          <w:rFonts w:eastAsia="等线" w:ascii="Arial" w:cs="Arial" w:hAnsi="Arial"/>
          <w:sz w:val="22"/>
        </w:rPr>
        <w:t>风险管理</w:t>
      </w:r>
    </w:p>
    <w:p>
      <w:pPr>
        <w:spacing w:before="120" w:after="120" w:line="288" w:lineRule="auto"/>
        <w:ind w:left="0" w:firstLine="420"/>
        <w:jc w:val="left"/>
      </w:pPr>
      <w:r>
        <w:rPr>
          <w:rFonts w:eastAsia="等线" w:ascii="Arial" w:cs="Arial" w:hAnsi="Arial"/>
          <w:sz w:val="22"/>
        </w:rPr>
        <w:t>对可能导致研究中止的风险因素进行提前预测与管理，通过对参与者的定期检查、数据监控等措施，尽量避免提前中止。</w:t>
      </w:r>
    </w:p>
    <w:p>
      <w:pPr>
        <w:spacing w:before="120" w:after="120" w:line="288" w:lineRule="auto"/>
        <w:ind w:left="0" w:firstLine="0"/>
        <w:jc w:val="left"/>
      </w:pPr>
    </w:p>
    <w:p>
      <w:pPr>
        <w:pStyle w:val="1"/>
        <w:spacing w:before="380" w:after="140" w:line="288" w:lineRule="auto"/>
        <w:ind w:left="0"/>
        <w:jc w:val="left"/>
        <w:outlineLvl w:val="0"/>
      </w:pPr>
      <w:bookmarkStart w:name="heading_27" w:id="27"/>
      <w:r>
        <w:rPr>
          <w:rFonts w:eastAsia="等线" w:ascii="Arial" w:cs="Arial" w:hAnsi="Arial"/>
          <w:b w:val="true"/>
          <w:sz w:val="36"/>
        </w:rPr>
        <w:t>九、参考文献</w:t>
      </w:r>
      <w:bookmarkEnd w:id="27"/>
    </w:p>
    <w:p>
      <w:pPr>
        <w:spacing w:before="120" w:after="120" w:line="288" w:lineRule="auto"/>
        <w:ind w:left="0" w:firstLine="420"/>
        <w:jc w:val="left"/>
      </w:pPr>
      <w:r>
        <w:rPr>
          <w:rFonts w:eastAsia="等线" w:ascii="Arial" w:cs="Arial" w:hAnsi="Arial"/>
          <w:sz w:val="22"/>
        </w:rPr>
        <w:t>[1]中华心血管病杂志（网络版）编辑委员会. 动脉粥样硬化斑块的筛查与临床管理专家共识[J]. 中华心血管病杂志（网络版）, 2022, 5(1): 1–13.</w:t>
      </w:r>
    </w:p>
    <w:p>
      <w:pPr>
        <w:spacing w:before="120" w:after="120" w:line="288" w:lineRule="auto"/>
        <w:ind w:left="0" w:firstLine="420"/>
        <w:jc w:val="left"/>
      </w:pPr>
      <w:r>
        <w:rPr>
          <w:rFonts w:eastAsia="等线" w:ascii="Arial" w:cs="Arial" w:hAnsi="Arial"/>
          <w:sz w:val="22"/>
        </w:rPr>
        <w:t>[2]Tang Y, Wang N, Dong Z, Lowerison M, Del Aguila A, Johnston N, Vu T, Ma C, Xu Y, Yang W, Song P, Yao J. Non-invasive Deep-Brain Imaging with 3D Integrated Photoacoustic Tomography and Ultrasound Localization Microscopy (3D-PAULM)[J]. IEEE Transactions on Medical Imaging, 2024: 1–1.</w:t>
      </w:r>
    </w:p>
    <w:p>
      <w:pPr>
        <w:spacing w:before="120" w:after="120" w:line="288" w:lineRule="auto"/>
        <w:ind w:left="0" w:firstLine="420"/>
        <w:jc w:val="left"/>
      </w:pPr>
      <w:r>
        <w:rPr>
          <w:rFonts w:eastAsia="等线" w:ascii="Arial" w:cs="Arial" w:hAnsi="Arial"/>
          <w:sz w:val="22"/>
        </w:rPr>
        <w:t>[3]中国心血管病风险评估和管理指南编写联合委员会. 中国心血管病风险评估和管理指南[J]. 中国循环杂志, 2019, 34(1): 4–28.</w:t>
      </w:r>
    </w:p>
    <w:p>
      <w:pPr>
        <w:spacing w:before="120" w:after="120" w:line="288" w:lineRule="auto"/>
        <w:ind w:left="0" w:firstLine="420"/>
        <w:jc w:val="left"/>
      </w:pPr>
      <w:r>
        <w:rPr>
          <w:rFonts w:eastAsia="等线" w:ascii="Arial" w:cs="Arial" w:hAnsi="Arial"/>
          <w:sz w:val="22"/>
        </w:rPr>
        <w:t>[4]蔺亚晖, 周洲. 心血管标志物将更精准评估心血管病风险[J]. 中华医学杂志, 2022, 102(35): 2731–2733.</w:t>
      </w:r>
    </w:p>
    <w:p>
      <w:pPr>
        <w:spacing w:before="120" w:after="120" w:line="288" w:lineRule="auto"/>
        <w:ind w:left="0" w:firstLine="420"/>
        <w:jc w:val="left"/>
      </w:pPr>
      <w:r>
        <w:rPr>
          <w:rFonts w:eastAsia="等线" w:ascii="Arial" w:cs="Arial" w:hAnsi="Arial"/>
          <w:sz w:val="22"/>
        </w:rPr>
        <w:t>[5]Lip G Y H, Teppo K, Nielsen P B. CHA2DS2-VASc or a non-sex score (CHA2DS2-VA) for stroke risk prediction in atrial fibrillation: contemporary insights and clinical implications[J]. European Heart Journal, 2024, 45(36): 3718–3720.</w:t>
      </w:r>
    </w:p>
    <w:sectPr>
      <w:footerReference w:type="default" r:id="rId3"/>
      <w:headerReference w:type="default" r:id="rId7"/>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90393">
    <w:lvl>
      <w:start w:val="1"/>
      <w:numFmt w:val="decimal"/>
      <w:suff w:val="tab"/>
      <w:lvlText w:val="%1."/>
      <w:rPr>
        <w:color w:val="3370ff"/>
      </w:rPr>
    </w:lvl>
  </w:abstractNum>
  <w:abstractNum w:abstractNumId="490394">
    <w:lvl>
      <w:start w:val="2"/>
      <w:numFmt w:val="decimal"/>
      <w:suff w:val="tab"/>
      <w:lvlText w:val="%1."/>
      <w:rPr>
        <w:color w:val="3370ff"/>
      </w:rPr>
    </w:lvl>
  </w:abstractNum>
  <w:abstractNum w:abstractNumId="490395">
    <w:lvl>
      <w:start w:val="3"/>
      <w:numFmt w:val="decimal"/>
      <w:suff w:val="tab"/>
      <w:lvlText w:val="%1."/>
      <w:rPr>
        <w:color w:val="3370ff"/>
      </w:rPr>
    </w:lvl>
  </w:abstractNum>
  <w:abstractNum w:abstractNumId="490396">
    <w:lvl>
      <w:start w:val="4"/>
      <w:numFmt w:val="decimal"/>
      <w:suff w:val="tab"/>
      <w:lvlText w:val="%1."/>
      <w:rPr>
        <w:color w:val="3370ff"/>
      </w:rPr>
    </w:lvl>
  </w:abstractNum>
  <w:abstractNum w:abstractNumId="490397">
    <w:lvl>
      <w:start w:val="5"/>
      <w:numFmt w:val="decimal"/>
      <w:suff w:val="tab"/>
      <w:lvlText w:val="%1."/>
      <w:rPr>
        <w:color w:val="3370ff"/>
      </w:rPr>
    </w:lvl>
  </w:abstractNum>
  <w:abstractNum w:abstractNumId="490398">
    <w:lvl>
      <w:start w:val="6"/>
      <w:numFmt w:val="decimal"/>
      <w:suff w:val="tab"/>
      <w:lvlText w:val="%1."/>
      <w:rPr>
        <w:color w:val="3370ff"/>
      </w:rPr>
    </w:lvl>
  </w:abstractNum>
  <w:abstractNum w:abstractNumId="490399">
    <w:lvl>
      <w:start w:val="7"/>
      <w:numFmt w:val="decimal"/>
      <w:suff w:val="tab"/>
      <w:lvlText w:val="%1."/>
      <w:rPr>
        <w:color w:val="3370ff"/>
      </w:rPr>
    </w:lvl>
  </w:abstractNum>
  <w:abstractNum w:abstractNumId="490400">
    <w:lvl>
      <w:start w:val="8"/>
      <w:numFmt w:val="decimal"/>
      <w:suff w:val="tab"/>
      <w:lvlText w:val="%1."/>
      <w:rPr>
        <w:color w:val="3370ff"/>
      </w:rPr>
    </w:lvl>
  </w:abstractNum>
  <w:abstractNum w:abstractNumId="490401">
    <w:lvl>
      <w:start w:val="9"/>
      <w:numFmt w:val="decimal"/>
      <w:suff w:val="tab"/>
      <w:lvlText w:val="%1."/>
      <w:rPr>
        <w:color w:val="3370ff"/>
      </w:rPr>
    </w:lvl>
  </w:abstractNum>
  <w:abstractNum w:abstractNumId="490402">
    <w:lvl>
      <w:start w:val="1"/>
      <w:numFmt w:val="lowerLetter"/>
      <w:suff w:val="tab"/>
      <w:lvlText w:val="%1."/>
      <w:rPr>
        <w:color w:val="3370ff"/>
      </w:rPr>
    </w:lvl>
  </w:abstractNum>
  <w:abstractNum w:abstractNumId="490403">
    <w:lvl>
      <w:start w:val="1"/>
      <w:numFmt w:val="decimal"/>
      <w:suff w:val="tab"/>
      <w:lvlText w:val="%1."/>
      <w:rPr>
        <w:color w:val="3370ff"/>
      </w:rPr>
    </w:lvl>
  </w:abstractNum>
  <w:num w:numId="1">
    <w:abstractNumId w:val="490393"/>
  </w:num>
  <w:num w:numId="2">
    <w:abstractNumId w:val="490394"/>
  </w:num>
  <w:num w:numId="3">
    <w:abstractNumId w:val="490395"/>
  </w:num>
  <w:num w:numId="4">
    <w:abstractNumId w:val="490396"/>
  </w:num>
  <w:num w:numId="5">
    <w:abstractNumId w:val="490397"/>
  </w:num>
  <w:num w:numId="6">
    <w:abstractNumId w:val="490398"/>
  </w:num>
  <w:num w:numId="7">
    <w:abstractNumId w:val="490399"/>
  </w:num>
  <w:num w:numId="8">
    <w:abstractNumId w:val="490400"/>
  </w:num>
  <w:num w:numId="9">
    <w:abstractNumId w:val="490401"/>
  </w:num>
  <w:num w:numId="10">
    <w:abstractNumId w:val="490402"/>
  </w:num>
  <w:num w:numId="11">
    <w:abstractNumId w:val="49040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jpeg" Type="http://schemas.openxmlformats.org/officeDocument/2006/relationships/image"/><Relationship Id="rId7"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2025-05-13T02:24:40Z</dcterms:created>
  <dc:creator>Apache POI</dc:creator>
</cp:coreProperties>
</file>