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E195F90" w:rsidR="004C5541" w:rsidRPr="004C5541" w:rsidRDefault="004C5541" w:rsidP="004C5541">
      <w:pPr>
        <w:spacing w:after="312"/>
        <w:ind w:left="360"/>
        <w:rPr>
          <w:rFonts w:eastAsiaTheme="minorEastAsia"/>
        </w:rPr>
      </w:pPr>
      <w:r w:rsidRPr="004C5541">
        <w:rPr>
          <w:rFonts w:eastAsiaTheme="minorEastAsia"/>
        </w:rPr>
        <w:t>The DMH_MR_Tool is a lightweight</w:t>
      </w:r>
      <w:r w:rsidR="00200328">
        <w:rPr>
          <w:rFonts w:eastAsiaTheme="minorEastAsia"/>
        </w:rPr>
        <w:t xml:space="preserve"> internal</w:t>
      </w:r>
      <w:r w:rsidRPr="004C5541">
        <w:rPr>
          <w:rFonts w:eastAsiaTheme="minorEastAsia"/>
        </w:rPr>
        <w:t xml:space="preserve">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27C7ADD"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w:t>
      </w:r>
      <w:r w:rsidR="004B2B9B">
        <w:rPr>
          <w:rFonts w:eastAsiaTheme="minorEastAsia"/>
        </w:rPr>
        <w:t>MR (</w:t>
      </w:r>
      <w:r w:rsidR="00A972D6">
        <w:rPr>
          <w:rFonts w:eastAsiaTheme="minorEastAsia"/>
        </w:rPr>
        <w:t>Master</w:t>
      </w:r>
      <w:r w:rsidR="004B2B9B">
        <w:rPr>
          <w:rFonts w:eastAsiaTheme="minorEastAsia"/>
        </w:rPr>
        <w:t xml:space="preserve"> </w:t>
      </w:r>
      <w:r w:rsidR="00A972D6">
        <w:rPr>
          <w:rFonts w:eastAsiaTheme="minorEastAsia"/>
        </w:rPr>
        <w:t xml:space="preserve">Rate) tab of the </w:t>
      </w:r>
      <w:r w:rsidRPr="004C5541">
        <w:rPr>
          <w:rFonts w:eastAsiaTheme="minorEastAsia"/>
        </w:rPr>
        <w:t>internal DMH</w:t>
      </w:r>
      <w:r w:rsidR="004B2B9B">
        <w:rPr>
          <w:rFonts w:eastAsiaTheme="minorEastAsia"/>
        </w:rPr>
        <w:t xml:space="preserve"> </w:t>
      </w:r>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 xml:space="preserve">Local SQLite3 </w:t>
      </w:r>
      <w:proofErr w:type="gramStart"/>
      <w:r>
        <w:t>used</w:t>
      </w:r>
      <w:proofErr w:type="gramEnd"/>
      <w:r>
        <w:t xml:space="preserve">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200328"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33DFB57F" w14:textId="3CD31159" w:rsidR="00200328" w:rsidRPr="007D10E5" w:rsidRDefault="00200328" w:rsidP="00590DDD">
      <w:pPr>
        <w:pStyle w:val="a9"/>
        <w:numPr>
          <w:ilvl w:val="1"/>
          <w:numId w:val="6"/>
        </w:numPr>
        <w:spacing w:after="312"/>
        <w:ind w:leftChars="0"/>
        <w:rPr>
          <w:rFonts w:eastAsiaTheme="minorEastAsia"/>
          <w:b/>
          <w:bCs/>
        </w:rPr>
      </w:pPr>
      <w:r>
        <w:t xml:space="preserve">All the hard code vars (e.g., websites address, database address, </w:t>
      </w:r>
      <w:r>
        <w:lastRenderedPageBreak/>
        <w:t>local/remote file path etc.) must be set in a configuration file, i.e., “.</w:t>
      </w:r>
      <w:proofErr w:type="spellStart"/>
      <w:r>
        <w:t>ini</w:t>
      </w:r>
      <w:proofErr w:type="spellEnd"/>
      <w:r>
        <w:t>” file, in a shared drive (not packaged in the project).</w:t>
      </w:r>
    </w:p>
    <w:p w14:paraId="6688517A" w14:textId="77777777" w:rsidR="00F41E16" w:rsidRDefault="00F41E16" w:rsidP="00F41E16">
      <w:pPr>
        <w:pStyle w:val="2"/>
        <w:spacing w:after="312"/>
        <w:ind w:left="360"/>
      </w:pPr>
      <w:r w:rsidRPr="00F41E16">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416812A4"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sidR="00F7168C">
        <w:t xml:space="preserve"> and year</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 xml:space="preserve">Data includes announcement title, publish date, URL, and associated ASX </w:t>
      </w:r>
      <w:proofErr w:type="gramStart"/>
      <w:r w:rsidRPr="00F41E16">
        <w:t>code</w:t>
      </w:r>
      <w:r w:rsidR="00E00C4E">
        <w:t>(</w:t>
      </w:r>
      <w:proofErr w:type="gramEnd"/>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 xml:space="preserve">Internal mapping </w:t>
      </w:r>
      <w:proofErr w:type="gramStart"/>
      <w:r w:rsidRPr="00F41E16">
        <w:t>used</w:t>
      </w:r>
      <w:proofErr w:type="gramEnd"/>
      <w:r w:rsidRPr="00F41E16">
        <w:t xml:space="preserve">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 xml:space="preserve">[To be </w:t>
      </w:r>
      <w:proofErr w:type="gramStart"/>
      <w:r w:rsidRPr="00F41E16">
        <w:t>integrated] —</w:t>
      </w:r>
      <w:proofErr w:type="gramEnd"/>
      <w:r w:rsidRPr="00F41E16">
        <w:t xml:space="preserve">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lastRenderedPageBreak/>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proofErr w:type="gramStart"/>
      <w:r w:rsidRPr="00617444">
        <w:rPr>
          <w:b/>
          <w:bCs/>
        </w:rPr>
        <w:t>Growth Expectations</w:t>
      </w:r>
      <w:proofErr w:type="gramEnd"/>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 xml:space="preserve">Stored in </w:t>
      </w:r>
      <w:proofErr w:type="gramStart"/>
      <w:r w:rsidRPr="00CA625D">
        <w:t>a</w:t>
      </w:r>
      <w:proofErr w:type="gramEnd"/>
      <w:r w:rsidRPr="00CA625D">
        <w:t xml:space="preserve">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proofErr w:type="gramStart"/>
      <w:r w:rsidRPr="00F41E16">
        <w:t>Intended</w:t>
      </w:r>
      <w:proofErr w:type="gramEnd"/>
      <w:r w:rsidRPr="00F41E16">
        <w:t xml:space="preserve">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sidR="00FB59C3">
        <w:rPr>
          <w:rFonts w:eastAsiaTheme="minorEastAsia"/>
          <w:i w:val="0"/>
          <w:iCs/>
        </w:rPr>
        <w:t>info</w:t>
      </w:r>
      <w:proofErr w:type="spellEnd"/>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asx_info</w:t>
      </w:r>
      <w:proofErr w:type="spellEnd"/>
      <w:r w:rsidRPr="00AB47A5">
        <w:rPr>
          <w:rFonts w:ascii="Consolas" w:eastAsia="宋体" w:hAnsi="Consolas" w:cs="宋体"/>
          <w:i w:val="0"/>
          <w:color w:val="000000"/>
          <w:kern w:val="0"/>
          <w:sz w:val="21"/>
          <w:szCs w:val="21"/>
        </w:rPr>
        <w:t xml:space="preserve">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5EC6C0B5"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w:t>
      </w:r>
      <w:proofErr w:type="spellStart"/>
      <w:r w:rsidRPr="00AB47A5">
        <w:rPr>
          <w:rFonts w:ascii="Consolas" w:eastAsia="宋体" w:hAnsi="Consolas" w:cs="宋体"/>
          <w:i w:val="0"/>
          <w:color w:val="000000"/>
          <w:kern w:val="0"/>
          <w:sz w:val="21"/>
          <w:szCs w:val="21"/>
        </w:rPr>
        <w:t>pdf_url</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56901449" w14:textId="73F51ECB"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pdf_</w:t>
      </w:r>
      <w:r>
        <w:rPr>
          <w:rFonts w:ascii="Consolas" w:eastAsia="宋体" w:hAnsi="Consolas" w:cs="宋体"/>
          <w:i w:val="0"/>
          <w:color w:val="000000"/>
          <w:kern w:val="0"/>
          <w:sz w:val="21"/>
          <w:szCs w:val="21"/>
        </w:rPr>
        <w:t>mask_</w:t>
      </w:r>
      <w:r w:rsidRPr="00AB47A5">
        <w:rPr>
          <w:rFonts w:ascii="Consolas" w:eastAsia="宋体" w:hAnsi="Consolas" w:cs="宋体"/>
          <w:i w:val="0"/>
          <w:color w:val="000000"/>
          <w:kern w:val="0"/>
          <w:sz w:val="21"/>
          <w:szCs w:val="21"/>
        </w:rPr>
        <w:t>url</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18420705" w14:textId="5AA298A9"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Pr>
          <w:rFonts w:ascii="Consolas" w:eastAsia="宋体" w:hAnsi="Consolas" w:cs="宋体"/>
          <w:i w:val="0"/>
          <w:color w:val="000000"/>
          <w:kern w:val="0"/>
          <w:sz w:val="21"/>
          <w:szCs w:val="21"/>
        </w:rPr>
        <w:t>page_num</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D4CAF87" w14:textId="2BBB0EF2" w:rsidR="00522AEC" w:rsidRPr="00AB47A5"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Pr>
          <w:rFonts w:ascii="Consolas" w:eastAsia="宋体" w:hAnsi="Consolas" w:cs="宋体"/>
          <w:i w:val="0"/>
          <w:color w:val="000000"/>
          <w:kern w:val="0"/>
          <w:sz w:val="21"/>
          <w:szCs w:val="21"/>
        </w:rPr>
        <w:t>file_size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63A4D5BD"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8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r w:rsidR="006773FE">
        <w:rPr>
          <w:rFonts w:ascii="Consolas" w:eastAsia="宋体" w:hAnsi="Consolas" w:cs="宋体"/>
          <w:i w:val="0"/>
          <w:color w:val="008000"/>
          <w:kern w:val="0"/>
          <w:sz w:val="21"/>
          <w:szCs w:val="21"/>
        </w:rPr>
        <w:t>, 2 = failed</w:t>
      </w:r>
    </w:p>
    <w:p w14:paraId="3A484309" w14:textId="59DEE2D6" w:rsidR="00522AEC" w:rsidRP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r>
        <w:rPr>
          <w:rFonts w:ascii="Consolas" w:eastAsia="宋体" w:hAnsi="Consolas" w:cs="宋体"/>
          <w:i w:val="0"/>
          <w:color w:val="000000"/>
          <w:kern w:val="0"/>
          <w:sz w:val="21"/>
          <w:szCs w:val="21"/>
        </w:rPr>
        <w:t>parsed</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xml:space="preserve">-- 0 = not </w:t>
      </w:r>
      <w:r>
        <w:rPr>
          <w:rFonts w:ascii="Consolas" w:eastAsia="宋体" w:hAnsi="Consolas" w:cs="宋体"/>
          <w:i w:val="0"/>
          <w:color w:val="008000"/>
          <w:kern w:val="0"/>
          <w:sz w:val="21"/>
          <w:szCs w:val="21"/>
        </w:rPr>
        <w:t>parsed,</w:t>
      </w:r>
      <w:r w:rsidRPr="00AB47A5">
        <w:rPr>
          <w:rFonts w:ascii="Consolas" w:eastAsia="宋体" w:hAnsi="Consolas" w:cs="宋体"/>
          <w:i w:val="0"/>
          <w:color w:val="008000"/>
          <w:kern w:val="0"/>
          <w:sz w:val="21"/>
          <w:szCs w:val="21"/>
        </w:rPr>
        <w:t xml:space="preserve"> 1 = </w:t>
      </w:r>
      <w:r>
        <w:rPr>
          <w:rFonts w:ascii="Consolas" w:eastAsia="宋体" w:hAnsi="Consolas" w:cs="宋体"/>
          <w:i w:val="0"/>
          <w:color w:val="008000"/>
          <w:kern w:val="0"/>
          <w:sz w:val="21"/>
          <w:szCs w:val="21"/>
        </w:rPr>
        <w:t>successfully pars</w:t>
      </w:r>
      <w:r w:rsidRPr="00AB47A5">
        <w:rPr>
          <w:rFonts w:ascii="Consolas" w:eastAsia="宋体" w:hAnsi="Consolas" w:cs="宋体"/>
          <w:i w:val="0"/>
          <w:color w:val="008000"/>
          <w:kern w:val="0"/>
          <w:sz w:val="21"/>
          <w:szCs w:val="21"/>
        </w:rPr>
        <w:t>ed</w:t>
      </w:r>
      <w:r>
        <w:rPr>
          <w:rFonts w:ascii="Consolas" w:eastAsia="宋体" w:hAnsi="Consolas" w:cs="宋体"/>
          <w:i w:val="0"/>
          <w:color w:val="008000"/>
          <w:kern w:val="0"/>
          <w:sz w:val="21"/>
          <w:szCs w:val="21"/>
        </w:rPr>
        <w:t xml:space="preserve">, 2 = error occurred while </w:t>
      </w:r>
      <w:proofErr w:type="gramStart"/>
      <w:r>
        <w:rPr>
          <w:rFonts w:ascii="Consolas" w:eastAsia="宋体" w:hAnsi="Consolas" w:cs="宋体"/>
          <w:i w:val="0"/>
          <w:color w:val="008000"/>
          <w:kern w:val="0"/>
          <w:sz w:val="21"/>
          <w:szCs w:val="21"/>
        </w:rPr>
        <w:t>parsing(</w:t>
      </w:r>
      <w:proofErr w:type="gramEnd"/>
      <w:r>
        <w:rPr>
          <w:rFonts w:ascii="Consolas" w:eastAsia="宋体" w:hAnsi="Consolas" w:cs="宋体"/>
          <w:i w:val="0"/>
          <w:color w:val="008000"/>
          <w:kern w:val="0"/>
          <w:sz w:val="21"/>
          <w:szCs w:val="21"/>
        </w:rPr>
        <w:t>failed parsed)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update_timestamp</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update_user</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info_code_date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w:t>
      </w:r>
      <w:proofErr w:type="gramStart"/>
      <w:r w:rsidRPr="00AB47A5">
        <w:rPr>
          <w:rFonts w:ascii="Consolas" w:eastAsia="宋体" w:hAnsi="Consolas" w:cs="宋体"/>
          <w:i w:val="0"/>
          <w:color w:val="000000"/>
          <w:kern w:val="0"/>
          <w:sz w:val="21"/>
          <w:szCs w:val="21"/>
        </w:rPr>
        <w:t>info</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proofErr w:type="gramStart"/>
      <w:r w:rsidRPr="00AB47A5">
        <w:rPr>
          <w:rFonts w:ascii="Consolas" w:eastAsia="宋体" w:hAnsi="Consolas" w:cs="宋体"/>
          <w:i w:val="0"/>
          <w:color w:val="000000"/>
          <w:kern w:val="0"/>
          <w:sz w:val="21"/>
          <w:szCs w:val="21"/>
        </w:rPr>
        <w:t>);</w:t>
      </w:r>
      <w:proofErr w:type="gramEnd"/>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pub_date</w:t>
      </w:r>
      <w:proofErr w:type="spellEnd"/>
      <w:r w:rsidR="00CF639B" w:rsidRPr="00425098">
        <w:rPr>
          <w:rFonts w:eastAsia="宋体"/>
        </w:rPr>
        <w:t>: Publish date of the announcement</w:t>
      </w:r>
      <w:r w:rsidR="00511874">
        <w:rPr>
          <w:rFonts w:eastAsia="宋体"/>
        </w:rPr>
        <w:t>(</w:t>
      </w:r>
      <w:proofErr w:type="spellStart"/>
      <w:r w:rsidR="00511874">
        <w:rPr>
          <w:rFonts w:eastAsia="宋体"/>
        </w:rPr>
        <w:t>yyyy</w:t>
      </w:r>
      <w:proofErr w:type="spellEnd"/>
      <w:r w:rsidR="00511874">
        <w:rPr>
          <w:rFonts w:eastAsia="宋体"/>
        </w:rPr>
        <w:t>-mm-dd)</w:t>
      </w:r>
    </w:p>
    <w:p w14:paraId="69E75DB4" w14:textId="1B9B7609" w:rsidR="00425098" w:rsidRPr="00376756"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pdf_url</w:t>
      </w:r>
      <w:proofErr w:type="spellEnd"/>
      <w:r w:rsidR="00CF639B" w:rsidRPr="00425098">
        <w:rPr>
          <w:rFonts w:eastAsia="宋体"/>
        </w:rPr>
        <w:t>: Direct link to the PDF announcement</w:t>
      </w:r>
    </w:p>
    <w:p w14:paraId="64CB62D8" w14:textId="3FA1D0D1"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pdf_mask_url</w:t>
      </w:r>
      <w:proofErr w:type="spellEnd"/>
      <w:r w:rsidRPr="00425098">
        <w:rPr>
          <w:rFonts w:eastAsia="宋体"/>
        </w:rPr>
        <w:t xml:space="preserve">: </w:t>
      </w:r>
      <w:r>
        <w:rPr>
          <w:rFonts w:eastAsia="宋体"/>
        </w:rPr>
        <w:t>L</w:t>
      </w:r>
      <w:r w:rsidRPr="00425098">
        <w:rPr>
          <w:rFonts w:eastAsia="宋体"/>
        </w:rPr>
        <w:t xml:space="preserve">ink to the </w:t>
      </w:r>
      <w:r>
        <w:rPr>
          <w:rFonts w:eastAsia="宋体"/>
        </w:rPr>
        <w:t xml:space="preserve">actual </w:t>
      </w:r>
      <w:r w:rsidRPr="00425098">
        <w:rPr>
          <w:rFonts w:eastAsia="宋体"/>
        </w:rPr>
        <w:t>PDF</w:t>
      </w:r>
      <w:r>
        <w:rPr>
          <w:rFonts w:eastAsia="宋体"/>
        </w:rPr>
        <w:t xml:space="preserve">’s </w:t>
      </w:r>
      <w:proofErr w:type="spellStart"/>
      <w:r>
        <w:rPr>
          <w:rFonts w:eastAsia="宋体"/>
        </w:rPr>
        <w:t>url</w:t>
      </w:r>
      <w:proofErr w:type="spellEnd"/>
    </w:p>
    <w:p w14:paraId="1C7079AF" w14:textId="1EA54A06"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page_num</w:t>
      </w:r>
      <w:proofErr w:type="spellEnd"/>
      <w:r w:rsidRPr="00425098">
        <w:rPr>
          <w:rFonts w:eastAsia="宋体"/>
        </w:rPr>
        <w:t xml:space="preserve">: </w:t>
      </w:r>
      <w:r>
        <w:rPr>
          <w:rFonts w:eastAsia="宋体"/>
        </w:rPr>
        <w:t>Page number of the</w:t>
      </w:r>
      <w:r w:rsidRPr="00425098">
        <w:rPr>
          <w:rFonts w:eastAsia="宋体"/>
        </w:rPr>
        <w:t xml:space="preserve"> PDF announcement</w:t>
      </w:r>
    </w:p>
    <w:p w14:paraId="55AAA832" w14:textId="7C06A90E"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file_size</w:t>
      </w:r>
      <w:proofErr w:type="spellEnd"/>
      <w:r w:rsidRPr="00425098">
        <w:rPr>
          <w:rFonts w:eastAsia="宋体"/>
        </w:rPr>
        <w:t xml:space="preserve">: </w:t>
      </w:r>
      <w:r>
        <w:rPr>
          <w:rFonts w:eastAsia="宋体"/>
        </w:rPr>
        <w:t>File size of</w:t>
      </w:r>
      <w:r w:rsidRPr="00425098">
        <w:rPr>
          <w:rFonts w:eastAsia="宋体"/>
        </w:rPr>
        <w:t xml:space="preserve"> the PDF announcement</w:t>
      </w:r>
    </w:p>
    <w:p w14:paraId="7FE1A106" w14:textId="6FDF7062" w:rsidR="00CF639B" w:rsidRPr="00522AEC"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3511528B" w14:textId="13C5C06E" w:rsidR="00522AEC" w:rsidRPr="00377682" w:rsidRDefault="00522AEC"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parsed</w:t>
      </w:r>
      <w:r w:rsidRPr="00522AEC">
        <w:rPr>
          <w:rFonts w:ascii="Consolas" w:eastAsia="宋体" w:hAnsi="Consolas" w:cs="宋体"/>
          <w:i w:val="0"/>
          <w:color w:val="000000"/>
          <w:kern w:val="0"/>
          <w:sz w:val="21"/>
          <w:szCs w:val="21"/>
        </w:rPr>
        <w:t>:</w:t>
      </w:r>
      <w:r w:rsidRPr="00522AEC">
        <w:rPr>
          <w:rFonts w:eastAsia="宋体"/>
        </w:rPr>
        <w:t xml:space="preserve"> </w:t>
      </w:r>
      <w:r w:rsidRPr="00425098">
        <w:rPr>
          <w:rFonts w:eastAsia="宋体"/>
        </w:rPr>
        <w:t>Flag indicating if the PDF has been</w:t>
      </w:r>
      <w:r>
        <w:rPr>
          <w:rFonts w:eastAsia="宋体"/>
        </w:rPr>
        <w:t xml:space="preserve"> parsed to business data and stored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update_timestamp</w:t>
      </w:r>
      <w:proofErr w:type="spellEnd"/>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update_user</w:t>
      </w:r>
      <w:proofErr w:type="spellEnd"/>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asx_code</w:t>
            </w:r>
            <w:proofErr w:type="spellEnd"/>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pub_date</w:t>
            </w:r>
            <w:proofErr w:type="spellEnd"/>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lastRenderedPageBreak/>
              <w:t>pdf_url</w:t>
            </w:r>
            <w:proofErr w:type="spellEnd"/>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7E74CA" w14:paraId="7A08BB64" w14:textId="77777777" w:rsidTr="00071EE6">
        <w:tc>
          <w:tcPr>
            <w:tcW w:w="2187" w:type="dxa"/>
          </w:tcPr>
          <w:p w14:paraId="0B1F9352" w14:textId="15DF4A9D" w:rsidR="007E74CA" w:rsidRPr="00071EE6" w:rsidRDefault="007E74CA" w:rsidP="00377682">
            <w:pPr>
              <w:spacing w:after="312"/>
              <w:ind w:leftChars="0" w:left="0"/>
              <w:rPr>
                <w:rFonts w:eastAsia="宋体"/>
                <w:b/>
                <w:bCs/>
                <w:i w:val="0"/>
                <w:iCs/>
              </w:rPr>
            </w:pPr>
            <w:proofErr w:type="spellStart"/>
            <w:r w:rsidRPr="00071EE6">
              <w:rPr>
                <w:rFonts w:eastAsia="宋体"/>
                <w:b/>
                <w:bCs/>
                <w:i w:val="0"/>
                <w:iCs/>
              </w:rPr>
              <w:t>pdf_</w:t>
            </w:r>
            <w:r>
              <w:rPr>
                <w:rFonts w:eastAsia="宋体"/>
                <w:b/>
                <w:bCs/>
                <w:i w:val="0"/>
                <w:iCs/>
              </w:rPr>
              <w:t>mask_</w:t>
            </w:r>
            <w:r w:rsidRPr="00071EE6">
              <w:rPr>
                <w:rFonts w:eastAsia="宋体"/>
                <w:b/>
                <w:bCs/>
                <w:i w:val="0"/>
                <w:iCs/>
              </w:rPr>
              <w:t>url</w:t>
            </w:r>
            <w:proofErr w:type="spellEnd"/>
          </w:p>
        </w:tc>
        <w:tc>
          <w:tcPr>
            <w:tcW w:w="2835" w:type="dxa"/>
          </w:tcPr>
          <w:p w14:paraId="55636E74" w14:textId="17B78088" w:rsidR="007E74CA" w:rsidRPr="00511874" w:rsidRDefault="007E74CA" w:rsidP="00377682">
            <w:pPr>
              <w:spacing w:after="312"/>
              <w:ind w:leftChars="0" w:left="0"/>
              <w:rPr>
                <w:rFonts w:eastAsia="宋体"/>
              </w:rPr>
            </w:pPr>
            <w:r w:rsidRPr="007E74CA">
              <w:rPr>
                <w:rFonts w:eastAsia="宋体"/>
              </w:rPr>
              <w:t>https://www.asx.com.au/asx/v2/statistics/displayAnnouncement.do?display=pdf&amp;idsId=02991191</w:t>
            </w:r>
          </w:p>
        </w:tc>
        <w:tc>
          <w:tcPr>
            <w:tcW w:w="2914" w:type="dxa"/>
          </w:tcPr>
          <w:p w14:paraId="629144C9" w14:textId="0C8BF71B" w:rsidR="007E74CA" w:rsidRPr="00412C55" w:rsidRDefault="007E74CA" w:rsidP="00377682">
            <w:pPr>
              <w:spacing w:after="312"/>
              <w:ind w:leftChars="0" w:left="0"/>
              <w:rPr>
                <w:rFonts w:eastAsia="宋体"/>
              </w:rPr>
            </w:pPr>
            <w:r w:rsidRPr="007E74CA">
              <w:rPr>
                <w:rFonts w:eastAsia="宋体"/>
              </w:rPr>
              <w:t>https://www.asx.com.au/asx/v2/statistics/displayAnnouncement.do?display=pdf&amp;idsId=02989728</w:t>
            </w:r>
          </w:p>
        </w:tc>
      </w:tr>
      <w:tr w:rsidR="007E74CA" w14:paraId="3D45689F" w14:textId="77777777" w:rsidTr="00071EE6">
        <w:tc>
          <w:tcPr>
            <w:tcW w:w="2187" w:type="dxa"/>
          </w:tcPr>
          <w:p w14:paraId="1EF9813D" w14:textId="0A58A4E8" w:rsidR="007E74CA" w:rsidRPr="00071EE6" w:rsidRDefault="007E74CA" w:rsidP="00377682">
            <w:pPr>
              <w:spacing w:after="312"/>
              <w:ind w:leftChars="0" w:left="0"/>
              <w:rPr>
                <w:rFonts w:eastAsia="宋体"/>
                <w:b/>
                <w:bCs/>
                <w:i w:val="0"/>
                <w:iCs/>
              </w:rPr>
            </w:pPr>
            <w:proofErr w:type="spellStart"/>
            <w:r>
              <w:rPr>
                <w:rFonts w:eastAsia="宋体"/>
                <w:b/>
                <w:bCs/>
                <w:i w:val="0"/>
                <w:iCs/>
              </w:rPr>
              <w:t>page_num</w:t>
            </w:r>
            <w:proofErr w:type="spellEnd"/>
          </w:p>
        </w:tc>
        <w:tc>
          <w:tcPr>
            <w:tcW w:w="2835" w:type="dxa"/>
          </w:tcPr>
          <w:p w14:paraId="64DFD501" w14:textId="75FDC948" w:rsidR="007E74CA" w:rsidRPr="007E74CA" w:rsidRDefault="007E74CA" w:rsidP="00377682">
            <w:pPr>
              <w:spacing w:after="312"/>
              <w:ind w:leftChars="0" w:left="0"/>
              <w:rPr>
                <w:rFonts w:eastAsia="宋体"/>
              </w:rPr>
            </w:pPr>
            <w:r>
              <w:rPr>
                <w:rFonts w:eastAsia="宋体"/>
              </w:rPr>
              <w:t>15</w:t>
            </w:r>
          </w:p>
        </w:tc>
        <w:tc>
          <w:tcPr>
            <w:tcW w:w="2914" w:type="dxa"/>
          </w:tcPr>
          <w:p w14:paraId="79FB6B04" w14:textId="241FBC54" w:rsidR="007E74CA" w:rsidRPr="007E74CA" w:rsidRDefault="007E74CA" w:rsidP="00377682">
            <w:pPr>
              <w:spacing w:after="312"/>
              <w:ind w:leftChars="0" w:left="0"/>
              <w:rPr>
                <w:rFonts w:eastAsia="宋体"/>
              </w:rPr>
            </w:pPr>
            <w:r>
              <w:rPr>
                <w:rFonts w:eastAsia="宋体"/>
              </w:rPr>
              <w:t>2</w:t>
            </w:r>
          </w:p>
        </w:tc>
      </w:tr>
      <w:tr w:rsidR="007E74CA" w14:paraId="0D10C1A4" w14:textId="77777777" w:rsidTr="00071EE6">
        <w:tc>
          <w:tcPr>
            <w:tcW w:w="2187" w:type="dxa"/>
          </w:tcPr>
          <w:p w14:paraId="13F13D4A" w14:textId="05226070" w:rsidR="007E74CA" w:rsidRDefault="007E74CA" w:rsidP="00377682">
            <w:pPr>
              <w:spacing w:after="312"/>
              <w:ind w:leftChars="0" w:left="0"/>
              <w:rPr>
                <w:rFonts w:eastAsia="宋体"/>
                <w:b/>
                <w:bCs/>
                <w:i w:val="0"/>
                <w:iCs/>
              </w:rPr>
            </w:pPr>
            <w:proofErr w:type="spellStart"/>
            <w:r>
              <w:rPr>
                <w:rFonts w:eastAsia="宋体"/>
                <w:b/>
                <w:bCs/>
                <w:i w:val="0"/>
                <w:iCs/>
              </w:rPr>
              <w:t>file_size</w:t>
            </w:r>
            <w:proofErr w:type="spellEnd"/>
          </w:p>
        </w:tc>
        <w:tc>
          <w:tcPr>
            <w:tcW w:w="2835" w:type="dxa"/>
          </w:tcPr>
          <w:p w14:paraId="28C8F250" w14:textId="7086F1E3" w:rsidR="007E74CA" w:rsidRDefault="007E74CA" w:rsidP="00377682">
            <w:pPr>
              <w:spacing w:after="312"/>
              <w:ind w:leftChars="0" w:left="0"/>
              <w:rPr>
                <w:rFonts w:eastAsia="宋体"/>
              </w:rPr>
            </w:pPr>
            <w:r>
              <w:rPr>
                <w:rFonts w:eastAsia="宋体"/>
              </w:rPr>
              <w:t>315.8 kb</w:t>
            </w:r>
          </w:p>
        </w:tc>
        <w:tc>
          <w:tcPr>
            <w:tcW w:w="2914" w:type="dxa"/>
          </w:tcPr>
          <w:p w14:paraId="4004A3E8" w14:textId="34CFDD13" w:rsidR="007E74CA" w:rsidRDefault="007E74CA" w:rsidP="00377682">
            <w:pPr>
              <w:spacing w:after="312"/>
              <w:ind w:leftChars="0" w:left="0"/>
              <w:rPr>
                <w:rFonts w:eastAsia="宋体"/>
              </w:rPr>
            </w:pPr>
            <w:r>
              <w:rPr>
                <w:rFonts w:eastAsia="宋体"/>
              </w:rPr>
              <w:t>171.0 kb</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4750DB" w14:paraId="177BBD7B" w14:textId="77777777" w:rsidTr="00071EE6">
        <w:tc>
          <w:tcPr>
            <w:tcW w:w="2187" w:type="dxa"/>
          </w:tcPr>
          <w:p w14:paraId="4BAA0C8D" w14:textId="00124C5C" w:rsidR="004750DB" w:rsidRPr="00071EE6" w:rsidRDefault="004750DB" w:rsidP="00377682">
            <w:pPr>
              <w:spacing w:after="312"/>
              <w:ind w:leftChars="0" w:left="0"/>
              <w:rPr>
                <w:rFonts w:eastAsia="宋体"/>
                <w:b/>
                <w:bCs/>
                <w:i w:val="0"/>
                <w:iCs/>
              </w:rPr>
            </w:pPr>
            <w:r>
              <w:rPr>
                <w:rFonts w:eastAsia="宋体"/>
                <w:b/>
                <w:bCs/>
                <w:i w:val="0"/>
                <w:iCs/>
              </w:rPr>
              <w:t>parsed</w:t>
            </w:r>
          </w:p>
        </w:tc>
        <w:tc>
          <w:tcPr>
            <w:tcW w:w="2835" w:type="dxa"/>
          </w:tcPr>
          <w:p w14:paraId="55B0685F" w14:textId="27371B27" w:rsidR="004750DB" w:rsidRDefault="004750DB" w:rsidP="00377682">
            <w:pPr>
              <w:spacing w:after="312"/>
              <w:ind w:leftChars="0" w:left="0"/>
              <w:rPr>
                <w:rFonts w:eastAsia="宋体"/>
              </w:rPr>
            </w:pPr>
            <w:r>
              <w:rPr>
                <w:rFonts w:eastAsia="宋体"/>
              </w:rPr>
              <w:t>2</w:t>
            </w:r>
          </w:p>
        </w:tc>
        <w:tc>
          <w:tcPr>
            <w:tcW w:w="2914" w:type="dxa"/>
          </w:tcPr>
          <w:p w14:paraId="6BA0EB9C" w14:textId="59081C6B" w:rsidR="004750DB" w:rsidRDefault="004750DB"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update_timestamp</w:t>
            </w:r>
            <w:proofErr w:type="spellEnd"/>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update_user</w:t>
            </w:r>
            <w:proofErr w:type="spellEnd"/>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Pr>
          <w:rFonts w:eastAsiaTheme="minorEastAsia"/>
          <w:i w:val="0"/>
          <w:iCs/>
        </w:rPr>
        <w:t>nz_data</w:t>
      </w:r>
      <w:proofErr w:type="spellEnd"/>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w:t>
      </w:r>
      <w:proofErr w:type="spellStart"/>
      <w:r w:rsidRPr="00B038BA">
        <w:rPr>
          <w:rFonts w:eastAsiaTheme="minorEastAsia"/>
          <w:b/>
          <w:bCs/>
        </w:rPr>
        <w:t>info_id</w:t>
      </w:r>
      <w:proofErr w:type="spellEnd"/>
      <w:r w:rsidRPr="00B038BA">
        <w:rPr>
          <w:rFonts w:eastAsiaTheme="minorEastAsia"/>
        </w:rPr>
        <w:t xml:space="preserve">) and mapped to a corresponding </w:t>
      </w:r>
      <w:proofErr w:type="spellStart"/>
      <w:r w:rsidRPr="00B038BA">
        <w:rPr>
          <w:rFonts w:eastAsiaTheme="minorEastAsia"/>
          <w:b/>
          <w:bCs/>
        </w:rPr>
        <w:t>asset_id</w:t>
      </w:r>
      <w:proofErr w:type="spellEnd"/>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gramEnd"/>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info_id</w:t>
      </w:r>
      <w:proofErr w:type="spellEnd"/>
      <w:r w:rsidRPr="00AB47A5">
        <w:rPr>
          <w:rFonts w:ascii="Consolas" w:eastAsia="宋体" w:hAnsi="Consolas" w:cs="宋体"/>
          <w:i w:val="0"/>
          <w:color w:val="000000"/>
          <w:kern w:val="0"/>
          <w:sz w:val="21"/>
          <w:szCs w:val="21"/>
        </w:rPr>
        <w:t xml:space="preserve">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asset_id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pay_date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income_rate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total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unfranked_pct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supplementary_dividend</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tax_rate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nz_code_exdate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proofErr w:type="gramStart"/>
      <w:r w:rsidRPr="00AB47A5">
        <w:rPr>
          <w:rFonts w:ascii="Consolas" w:eastAsia="宋体" w:hAnsi="Consolas" w:cs="宋体"/>
          <w:i w:val="0"/>
          <w:color w:val="000000"/>
          <w:kern w:val="0"/>
          <w:sz w:val="21"/>
          <w:szCs w:val="21"/>
        </w:rPr>
        <w:t>);</w:t>
      </w:r>
      <w:proofErr w:type="gramEnd"/>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asx_nz_data</w:t>
      </w:r>
      <w:proofErr w:type="spellEnd"/>
      <w:r w:rsidRPr="00AB47A5">
        <w:rPr>
          <w:rFonts w:ascii="Consolas" w:eastAsia="宋体" w:hAnsi="Consolas" w:cs="宋体"/>
          <w:i w:val="0"/>
          <w:color w:val="000000"/>
          <w:kern w:val="0"/>
          <w:sz w:val="21"/>
          <w:szCs w:val="21"/>
        </w:rPr>
        <w:t>(</w:t>
      </w:r>
      <w:proofErr w:type="spellStart"/>
      <w:r w:rsidRPr="00AB47A5">
        <w:rPr>
          <w:rFonts w:ascii="Consolas" w:eastAsia="宋体" w:hAnsi="Consolas" w:cs="宋体"/>
          <w:i w:val="0"/>
          <w:color w:val="000000"/>
          <w:kern w:val="0"/>
          <w:sz w:val="21"/>
          <w:szCs w:val="21"/>
        </w:rPr>
        <w:t>info_id</w:t>
      </w:r>
      <w:proofErr w:type="spellEnd"/>
      <w:proofErr w:type="gramStart"/>
      <w:r w:rsidRPr="00AB47A5">
        <w:rPr>
          <w:rFonts w:ascii="Consolas" w:eastAsia="宋体" w:hAnsi="Consolas" w:cs="宋体"/>
          <w:i w:val="0"/>
          <w:color w:val="000000"/>
          <w:kern w:val="0"/>
          <w:sz w:val="21"/>
          <w:szCs w:val="21"/>
        </w:rPr>
        <w:t>);</w:t>
      </w:r>
      <w:proofErr w:type="gramEnd"/>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b/>
          <w:bCs/>
        </w:rPr>
        <w:t>info_id</w:t>
      </w:r>
      <w:proofErr w:type="spellEnd"/>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pub_date</w:t>
      </w:r>
      <w:proofErr w:type="spellEnd"/>
      <w:r w:rsidRPr="00425098">
        <w:rPr>
          <w:rFonts w:eastAsia="宋体"/>
        </w:rPr>
        <w:t>: Publish date of the announcement</w:t>
      </w:r>
      <w:r>
        <w:rPr>
          <w:rFonts w:eastAsia="宋体"/>
        </w:rPr>
        <w:t>(</w:t>
      </w:r>
      <w:proofErr w:type="spellStart"/>
      <w:r>
        <w:rPr>
          <w:rFonts w:eastAsia="宋体"/>
        </w:rPr>
        <w:t>yyyy</w:t>
      </w:r>
      <w:proofErr w:type="spellEnd"/>
      <w:r>
        <w:rPr>
          <w:rFonts w:eastAsia="宋体"/>
        </w:rPr>
        <w:t>-mm-dd)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5754EC">
        <w:rPr>
          <w:rFonts w:eastAsia="宋体"/>
          <w:b/>
          <w:bCs/>
        </w:rPr>
        <w:t>asset_id</w:t>
      </w:r>
      <w:proofErr w:type="spellEnd"/>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fund_name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fund_currency</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as_of_date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ex_dividend_date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payable_date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proofErr w:type="gramStart"/>
      <w:r w:rsidRPr="006A4CC6">
        <w:rPr>
          <w:rFonts w:ascii="Consolas" w:eastAsia="宋体" w:hAnsi="Consolas" w:cs="宋体"/>
          <w:i w:val="0"/>
          <w:color w:val="000000"/>
          <w:kern w:val="0"/>
          <w:sz w:val="21"/>
          <w:szCs w:val="21"/>
        </w:rPr>
        <w:t>reinvestment_date</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record_date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cpu</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lastRenderedPageBreak/>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gramEnd"/>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column_</w:t>
      </w:r>
      <w:proofErr w:type="gramStart"/>
      <w:r w:rsidRPr="006A4CC6">
        <w:rPr>
          <w:rFonts w:ascii="Consolas" w:eastAsia="宋体" w:hAnsi="Consolas" w:cs="宋体"/>
          <w:i w:val="0"/>
          <w:color w:val="000000"/>
          <w:kern w:val="0"/>
          <w:sz w:val="21"/>
          <w:szCs w:val="21"/>
        </w:rPr>
        <w:t>map</w:t>
      </w:r>
      <w:proofErr w:type="spellEnd"/>
      <w:r w:rsidRPr="006A4CC6">
        <w:rPr>
          <w:rFonts w:ascii="Consolas" w:eastAsia="宋体" w:hAnsi="Consolas" w:cs="宋体"/>
          <w:i w:val="0"/>
          <w:color w:val="000000"/>
          <w:kern w:val="0"/>
          <w:sz w:val="21"/>
          <w:szCs w:val="21"/>
        </w:rPr>
        <w:t>(</w:t>
      </w:r>
      <w:proofErr w:type="gramEnd"/>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6BE9C71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v_code</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component code in vanguard website</w:t>
      </w:r>
    </w:p>
    <w:p w14:paraId="7D70E272" w14:textId="1D530CBD"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v_desc</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description of this component in vanguard website</w:t>
      </w:r>
    </w:p>
    <w:p w14:paraId="6EAC3AEE" w14:textId="52496901"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d_code</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component code in DMH backend database system</w:t>
      </w:r>
    </w:p>
    <w:p w14:paraId="605D9EB1" w14:textId="3529AC10"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d_desc</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description of this component in DMH UI</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proofErr w:type="gramStart"/>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map_port_id</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vanguard_mapping</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vanguard_data</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r w:rsidRPr="006A4CC6">
        <w:rPr>
          <w:rFonts w:ascii="Consolas" w:eastAsia="宋体" w:hAnsi="Consolas" w:cs="宋体"/>
          <w:i w:val="0"/>
          <w:color w:val="000000"/>
          <w:kern w:val="0"/>
          <w:sz w:val="21"/>
          <w:szCs w:val="21"/>
        </w:rPr>
        <w:t xml:space="preserve">ticker,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reinvestment_date</w:t>
      </w:r>
      <w:proofErr w:type="spellEnd"/>
      <w:proofErr w:type="gramStart"/>
      <w:r w:rsidRPr="006A4CC6">
        <w:rPr>
          <w:rFonts w:ascii="Consolas" w:eastAsia="宋体" w:hAnsi="Consolas" w:cs="宋体"/>
          <w:i w:val="0"/>
          <w:color w:val="000000"/>
          <w:kern w:val="0"/>
          <w:sz w:val="21"/>
          <w:szCs w:val="21"/>
        </w:rPr>
        <w:t>);</w:t>
      </w:r>
      <w:proofErr w:type="gramEnd"/>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spellStart"/>
      <w:proofErr w:type="gramEnd"/>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ticker, </w:t>
      </w:r>
      <w:proofErr w:type="spellStart"/>
      <w:r w:rsidRPr="006A4CC6">
        <w:rPr>
          <w:rFonts w:ascii="Consolas" w:eastAsia="宋体" w:hAnsi="Consolas" w:cs="宋体"/>
          <w:i w:val="0"/>
          <w:color w:val="000000"/>
          <w:kern w:val="0"/>
          <w:sz w:val="21"/>
          <w:szCs w:val="21"/>
        </w:rPr>
        <w:t>apir</w:t>
      </w:r>
      <w:proofErr w:type="spellEnd"/>
      <w:proofErr w:type="gramStart"/>
      <w:r w:rsidRPr="006A4CC6">
        <w:rPr>
          <w:rFonts w:ascii="Consolas" w:eastAsia="宋体" w:hAnsi="Consolas" w:cs="宋体"/>
          <w:i w:val="0"/>
          <w:color w:val="000000"/>
          <w:kern w:val="0"/>
          <w:sz w:val="21"/>
          <w:szCs w:val="21"/>
        </w:rPr>
        <w:t>);</w:t>
      </w:r>
      <w:proofErr w:type="gramEnd"/>
    </w:p>
    <w:p w14:paraId="5073EB35" w14:textId="77777777" w:rsidR="00AB47A5"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184FC641" w14:textId="0B11DE1C" w:rsidR="00814DB8" w:rsidRPr="00814DB8" w:rsidRDefault="00814DB8" w:rsidP="00814DB8">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Pr>
          <w:rFonts w:eastAsiaTheme="minorEastAsia"/>
          <w:i w:val="0"/>
          <w:iCs/>
        </w:rPr>
        <w:t>sys_log</w:t>
      </w:r>
      <w:proofErr w:type="spellEnd"/>
    </w:p>
    <w:p w14:paraId="45DBA84D" w14:textId="1835CCFE" w:rsidR="00814DB8" w:rsidRDefault="00814DB8" w:rsidP="00814DB8">
      <w:pPr>
        <w:spacing w:after="312"/>
        <w:ind w:left="360"/>
        <w:rPr>
          <w:rFonts w:eastAsiaTheme="minorEastAsia"/>
        </w:rPr>
      </w:pPr>
      <w:r w:rsidRPr="00814DB8">
        <w:rPr>
          <w:rFonts w:eastAsiaTheme="minorEastAsia"/>
        </w:rPr>
        <w:t>Tracks all major user actions performed in the DMH_MR_Tool for monitoring, performance analysis, and debugging</w:t>
      </w:r>
      <w:r w:rsidRPr="00F24870">
        <w:rPr>
          <w:rFonts w:eastAsiaTheme="minorEastAsia"/>
        </w:rPr>
        <w:t>.</w:t>
      </w:r>
    </w:p>
    <w:p w14:paraId="45B6A50B"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FF"/>
          <w:kern w:val="0"/>
          <w:sz w:val="21"/>
          <w:szCs w:val="21"/>
        </w:rPr>
        <w:t>CREATE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TABLE</w:t>
      </w:r>
      <w:r w:rsidRPr="00814DB8">
        <w:rPr>
          <w:rFonts w:ascii="Consolas" w:eastAsia="宋体" w:hAnsi="Consolas" w:cs="宋体"/>
          <w:i w:val="0"/>
          <w:color w:val="000000"/>
          <w:kern w:val="0"/>
          <w:sz w:val="21"/>
          <w:szCs w:val="21"/>
        </w:rPr>
        <w:t xml:space="preserve"> IF </w:t>
      </w:r>
      <w:r w:rsidRPr="00814DB8">
        <w:rPr>
          <w:rFonts w:ascii="Consolas" w:eastAsia="宋体" w:hAnsi="Consolas" w:cs="宋体"/>
          <w:i w:val="0"/>
          <w:color w:val="0000FF"/>
          <w:kern w:val="0"/>
          <w:sz w:val="21"/>
          <w:szCs w:val="21"/>
        </w:rPr>
        <w:t>NOT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EXISTS</w:t>
      </w: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sys_log</w:t>
      </w:r>
      <w:proofErr w:type="spellEnd"/>
      <w:r w:rsidRPr="00814DB8">
        <w:rPr>
          <w:rFonts w:ascii="Consolas" w:eastAsia="宋体" w:hAnsi="Consolas" w:cs="宋体"/>
          <w:i w:val="0"/>
          <w:color w:val="000000"/>
          <w:kern w:val="0"/>
          <w:sz w:val="21"/>
          <w:szCs w:val="21"/>
        </w:rPr>
        <w:t xml:space="preserve"> (</w:t>
      </w:r>
    </w:p>
    <w:p w14:paraId="0AE668D2"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id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PRIMARY KEY</w:t>
      </w:r>
      <w:r w:rsidRPr="00814DB8">
        <w:rPr>
          <w:rFonts w:ascii="Consolas" w:eastAsia="宋体" w:hAnsi="Consolas" w:cs="宋体"/>
          <w:i w:val="0"/>
          <w:color w:val="000000"/>
          <w:kern w:val="0"/>
          <w:sz w:val="21"/>
          <w:szCs w:val="21"/>
        </w:rPr>
        <w:t xml:space="preserve"> AUTOINCREMENT,</w:t>
      </w:r>
    </w:p>
    <w:p w14:paraId="4450014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update_timestamp</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DATETIME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CURRENT_TIMESTAMP,</w:t>
      </w:r>
    </w:p>
    <w:p w14:paraId="4C4CE099"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user_id</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3C511A16"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action</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0E6282E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Action name, e.g., "</w:t>
      </w:r>
      <w:proofErr w:type="spellStart"/>
      <w:r w:rsidRPr="00814DB8">
        <w:rPr>
          <w:rFonts w:ascii="Consolas" w:eastAsia="宋体" w:hAnsi="Consolas" w:cs="宋体"/>
          <w:i w:val="0"/>
          <w:color w:val="008000"/>
          <w:kern w:val="0"/>
          <w:sz w:val="21"/>
          <w:szCs w:val="21"/>
        </w:rPr>
        <w:t>launch_tool</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download_pdf</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update_dmh</w:t>
      </w:r>
      <w:proofErr w:type="spellEnd"/>
      <w:r w:rsidRPr="00814DB8">
        <w:rPr>
          <w:rFonts w:ascii="Consolas" w:eastAsia="宋体" w:hAnsi="Consolas" w:cs="宋体"/>
          <w:i w:val="0"/>
          <w:color w:val="008000"/>
          <w:kern w:val="0"/>
          <w:sz w:val="21"/>
          <w:szCs w:val="21"/>
        </w:rPr>
        <w:t>"</w:t>
      </w:r>
    </w:p>
    <w:p w14:paraId="74459C2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detail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w:t>
      </w:r>
    </w:p>
    <w:p w14:paraId="2D839C9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lastRenderedPageBreak/>
        <w:t xml:space="preserve">    </w:t>
      </w:r>
      <w:r w:rsidRPr="00814DB8">
        <w:rPr>
          <w:rFonts w:ascii="Consolas" w:eastAsia="宋体" w:hAnsi="Consolas" w:cs="宋体"/>
          <w:i w:val="0"/>
          <w:color w:val="008000"/>
          <w:kern w:val="0"/>
          <w:sz w:val="21"/>
          <w:szCs w:val="21"/>
        </w:rPr>
        <w:t>-- JSON/text blob for storing structured metadata (e.g., ticker, file path, status)</w:t>
      </w:r>
    </w:p>
    <w:p w14:paraId="2D1C3257"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success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98658"/>
          <w:kern w:val="0"/>
          <w:sz w:val="21"/>
          <w:szCs w:val="21"/>
        </w:rPr>
        <w:t>1</w:t>
      </w:r>
      <w:r w:rsidRPr="00814DB8">
        <w:rPr>
          <w:rFonts w:ascii="Consolas" w:eastAsia="宋体" w:hAnsi="Consolas" w:cs="宋体"/>
          <w:i w:val="0"/>
          <w:color w:val="000000"/>
          <w:kern w:val="0"/>
          <w:sz w:val="21"/>
          <w:szCs w:val="21"/>
        </w:rPr>
        <w:t>,</w:t>
      </w:r>
    </w:p>
    <w:p w14:paraId="2DC3FE63"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-- 1 for success, 0 for failure</w:t>
      </w:r>
    </w:p>
    <w:p w14:paraId="5302DA14"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duration_ms</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INTEGER</w:t>
      </w:r>
    </w:p>
    <w:p w14:paraId="2F75215C"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Optional: time taken to complete the action</w:t>
      </w:r>
    </w:p>
    <w:p w14:paraId="411A36BA" w14:textId="36E47E4F" w:rsidR="00814DB8" w:rsidRDefault="00814DB8"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w:t>
      </w:r>
    </w:p>
    <w:p w14:paraId="536F231C" w14:textId="77777777" w:rsidR="005A2AEA" w:rsidRDefault="005A2AEA"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p>
    <w:p w14:paraId="3FE8705E" w14:textId="2992225B" w:rsidR="005A2AEA" w:rsidRPr="00814DB8" w:rsidRDefault="005A2AEA" w:rsidP="005A2AEA">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Pr>
          <w:rFonts w:eastAsiaTheme="minorEastAsia"/>
          <w:i w:val="0"/>
          <w:iCs/>
        </w:rPr>
        <w:t>parse_template</w:t>
      </w:r>
      <w:proofErr w:type="spellEnd"/>
    </w:p>
    <w:p w14:paraId="1A77F12B" w14:textId="6104FB2D" w:rsidR="007C5520" w:rsidRPr="007C5520" w:rsidRDefault="005A2AEA" w:rsidP="007C5520">
      <w:pPr>
        <w:widowControl/>
        <w:shd w:val="clear" w:color="auto" w:fill="FFFFFF"/>
        <w:spacing w:afterLines="0" w:after="240" w:line="285" w:lineRule="atLeast"/>
        <w:ind w:leftChars="0" w:left="360"/>
        <w:rPr>
          <w:rFonts w:eastAsiaTheme="minorEastAsia"/>
        </w:rPr>
      </w:pPr>
      <w:r>
        <w:rPr>
          <w:rFonts w:eastAsiaTheme="minorEastAsia"/>
        </w:rPr>
        <w:t xml:space="preserve">Templates </w:t>
      </w:r>
      <w:proofErr w:type="gramStart"/>
      <w:r>
        <w:rPr>
          <w:rFonts w:eastAsiaTheme="minorEastAsia"/>
        </w:rPr>
        <w:t>used</w:t>
      </w:r>
      <w:proofErr w:type="gramEnd"/>
      <w:r>
        <w:rPr>
          <w:rFonts w:eastAsiaTheme="minorEastAsia"/>
        </w:rPr>
        <w:t xml:space="preserve"> to parse .xlsx or .pdf data in the Parse Interface</w:t>
      </w:r>
      <w:r w:rsidRPr="00F24870">
        <w:rPr>
          <w:rFonts w:eastAsiaTheme="minorEastAsia"/>
        </w:rPr>
        <w:t>.</w:t>
      </w:r>
      <w:r w:rsidR="007C5520">
        <w:rPr>
          <w:rFonts w:eastAsiaTheme="minorEastAsia"/>
        </w:rPr>
        <w:t xml:space="preserve"> Each column name is a </w:t>
      </w:r>
      <w:r w:rsidR="007C5520" w:rsidRPr="007C5520">
        <w:rPr>
          <w:rFonts w:eastAsiaTheme="minorEastAsia"/>
        </w:rPr>
        <w:t>component code in DMH backend database system</w:t>
      </w:r>
      <w:r w:rsidR="007C5520">
        <w:rPr>
          <w:rFonts w:eastAsiaTheme="minorEastAsia"/>
        </w:rPr>
        <w:t xml:space="preserve">. For </w:t>
      </w:r>
      <w:proofErr w:type="spellStart"/>
      <w:r w:rsidR="007C5520" w:rsidRPr="007C5520">
        <w:rPr>
          <w:rFonts w:ascii="Consolas" w:eastAsia="宋体" w:hAnsi="Consolas" w:cs="宋体"/>
          <w:i w:val="0"/>
          <w:color w:val="000000"/>
          <w:kern w:val="0"/>
          <w:sz w:val="21"/>
          <w:szCs w:val="21"/>
        </w:rPr>
        <w:t>parse_template_mr</w:t>
      </w:r>
      <w:proofErr w:type="spellEnd"/>
      <w:r w:rsidR="007C5520">
        <w:rPr>
          <w:rFonts w:eastAsiaTheme="minorEastAsia"/>
        </w:rPr>
        <w:t xml:space="preserve">, the column names </w:t>
      </w:r>
      <w:r w:rsidR="007C5520" w:rsidRPr="007C5520">
        <w:rPr>
          <w:rFonts w:eastAsiaTheme="minorEastAsia"/>
        </w:rPr>
        <w:t xml:space="preserve">related to </w:t>
      </w:r>
      <w:proofErr w:type="spellStart"/>
      <w:r w:rsidR="007C5520" w:rsidRPr="007C5520">
        <w:rPr>
          <w:rFonts w:eastAsiaTheme="minorEastAsia"/>
        </w:rPr>
        <w:t>d_code</w:t>
      </w:r>
      <w:proofErr w:type="spellEnd"/>
      <w:r w:rsidR="007C5520" w:rsidRPr="007C5520">
        <w:rPr>
          <w:rFonts w:eastAsiaTheme="minorEastAsia"/>
        </w:rPr>
        <w:t xml:space="preserve"> in </w:t>
      </w:r>
      <w:proofErr w:type="spellStart"/>
      <w:r w:rsidR="007C5520" w:rsidRPr="007C5520">
        <w:rPr>
          <w:rFonts w:eastAsiaTheme="minorEastAsia"/>
        </w:rPr>
        <w:t>column_map</w:t>
      </w:r>
      <w:proofErr w:type="spellEnd"/>
      <w:r w:rsidR="007C5520" w:rsidRPr="007C5520">
        <w:rPr>
          <w:rFonts w:eastAsiaTheme="minorEastAsia"/>
        </w:rPr>
        <w:t xml:space="preserve"> table</w:t>
      </w:r>
      <w:r w:rsidR="007C5520">
        <w:rPr>
          <w:rFonts w:eastAsiaTheme="minorEastAsia"/>
        </w:rPr>
        <w:t xml:space="preserve">. For </w:t>
      </w:r>
      <w:proofErr w:type="spellStart"/>
      <w:r w:rsidR="007C5520" w:rsidRPr="007C5520">
        <w:rPr>
          <w:rFonts w:eastAsiaTheme="minorEastAsia"/>
        </w:rPr>
        <w:t>parse_template_nz</w:t>
      </w:r>
      <w:proofErr w:type="spellEnd"/>
      <w:r w:rsidR="007C5520">
        <w:rPr>
          <w:rFonts w:eastAsiaTheme="minorEastAsia"/>
        </w:rPr>
        <w:t xml:space="preserve">, the column names related to column names in table </w:t>
      </w:r>
      <w:proofErr w:type="spellStart"/>
      <w:r w:rsidR="007C5520" w:rsidRPr="00F24870">
        <w:rPr>
          <w:rFonts w:eastAsiaTheme="minorEastAsia"/>
          <w:i w:val="0"/>
          <w:iCs/>
        </w:rPr>
        <w:t>asx_</w:t>
      </w:r>
      <w:r w:rsidR="007C5520">
        <w:rPr>
          <w:rFonts w:eastAsiaTheme="minorEastAsia"/>
          <w:i w:val="0"/>
          <w:iCs/>
        </w:rPr>
        <w:t>nz_data</w:t>
      </w:r>
      <w:proofErr w:type="spellEnd"/>
      <w:r w:rsidR="007C5520">
        <w:rPr>
          <w:rFonts w:eastAsiaTheme="minorEastAsia"/>
          <w:i w:val="0"/>
          <w:iCs/>
        </w:rPr>
        <w:t>.</w:t>
      </w:r>
    </w:p>
    <w:p w14:paraId="128E266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parse_template_</w:t>
      </w:r>
      <w:proofErr w:type="gramStart"/>
      <w:r w:rsidRPr="007C5520">
        <w:rPr>
          <w:rFonts w:ascii="Consolas" w:eastAsia="宋体" w:hAnsi="Consolas" w:cs="宋体"/>
          <w:i w:val="0"/>
          <w:color w:val="000000"/>
          <w:kern w:val="0"/>
          <w:sz w:val="21"/>
          <w:szCs w:val="21"/>
        </w:rPr>
        <w:t>mr</w:t>
      </w:r>
      <w:proofErr w:type="spellEnd"/>
      <w:r w:rsidRPr="007C5520">
        <w:rPr>
          <w:rFonts w:ascii="Consolas" w:eastAsia="宋体" w:hAnsi="Consolas" w:cs="宋体"/>
          <w:i w:val="0"/>
          <w:color w:val="000000"/>
          <w:kern w:val="0"/>
          <w:sz w:val="21"/>
          <w:szCs w:val="21"/>
        </w:rPr>
        <w:t>(</w:t>
      </w:r>
      <w:proofErr w:type="gramEnd"/>
    </w:p>
    <w:p w14:paraId="7264E76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240E696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template_name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xml:space="preserve">-- e.g. </w:t>
      </w:r>
      <w:proofErr w:type="spellStart"/>
      <w:r w:rsidRPr="007C5520">
        <w:rPr>
          <w:rFonts w:ascii="Consolas" w:eastAsia="宋体" w:hAnsi="Consolas" w:cs="宋体"/>
          <w:i w:val="0"/>
          <w:color w:val="008000"/>
          <w:kern w:val="0"/>
          <w:sz w:val="21"/>
          <w:szCs w:val="21"/>
        </w:rPr>
        <w:t>vanguard_au</w:t>
      </w:r>
      <w:proofErr w:type="spellEnd"/>
      <w:r w:rsidRPr="007C5520">
        <w:rPr>
          <w:rFonts w:ascii="Consolas" w:eastAsia="宋体" w:hAnsi="Consolas" w:cs="宋体"/>
          <w:i w:val="0"/>
          <w:color w:val="008000"/>
          <w:kern w:val="0"/>
          <w:sz w:val="21"/>
          <w:szCs w:val="21"/>
        </w:rPr>
        <w:t xml:space="preserve">, </w:t>
      </w:r>
      <w:proofErr w:type="spellStart"/>
      <w:r w:rsidRPr="007C5520">
        <w:rPr>
          <w:rFonts w:ascii="Consolas" w:eastAsia="宋体" w:hAnsi="Consolas" w:cs="宋体"/>
          <w:i w:val="0"/>
          <w:color w:val="008000"/>
          <w:kern w:val="0"/>
          <w:sz w:val="21"/>
          <w:szCs w:val="21"/>
        </w:rPr>
        <w:t>asx_mit_notice</w:t>
      </w:r>
      <w:proofErr w:type="spellEnd"/>
      <w:r w:rsidRPr="007C5520">
        <w:rPr>
          <w:rFonts w:ascii="Consolas" w:eastAsia="宋体" w:hAnsi="Consolas" w:cs="宋体"/>
          <w:i w:val="0"/>
          <w:color w:val="008000"/>
          <w:kern w:val="0"/>
          <w:sz w:val="21"/>
          <w:szCs w:val="21"/>
        </w:rPr>
        <w:t xml:space="preserve">, perpetual, </w:t>
      </w:r>
      <w:proofErr w:type="spellStart"/>
      <w:r w:rsidRPr="007C5520">
        <w:rPr>
          <w:rFonts w:ascii="Consolas" w:eastAsia="宋体" w:hAnsi="Consolas" w:cs="宋体"/>
          <w:i w:val="0"/>
          <w:color w:val="008000"/>
          <w:kern w:val="0"/>
          <w:sz w:val="21"/>
          <w:szCs w:val="21"/>
        </w:rPr>
        <w:t>etc</w:t>
      </w:r>
      <w:proofErr w:type="spellEnd"/>
    </w:p>
    <w:p w14:paraId="57ED9DF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INC_RAT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1D1932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007F0A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DOM_DID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BA7FF3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 other fields</w:t>
      </w:r>
    </w:p>
    <w:p w14:paraId="76F61AC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FOR_INC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A6DF04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is_valid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6A79F3F"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update_timestamp</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27950A5B"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1BBB101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726408D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proofErr w:type="gramStart"/>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proofErr w:type="gramEnd"/>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parse_template_</w:t>
      </w:r>
      <w:proofErr w:type="gramStart"/>
      <w:r w:rsidRPr="007C5520">
        <w:rPr>
          <w:rFonts w:ascii="Consolas" w:eastAsia="宋体" w:hAnsi="Consolas" w:cs="宋体"/>
          <w:i w:val="0"/>
          <w:color w:val="000000"/>
          <w:kern w:val="0"/>
          <w:sz w:val="21"/>
          <w:szCs w:val="21"/>
        </w:rPr>
        <w:t>nz</w:t>
      </w:r>
      <w:proofErr w:type="spellEnd"/>
      <w:r w:rsidRPr="007C5520">
        <w:rPr>
          <w:rFonts w:ascii="Consolas" w:eastAsia="宋体" w:hAnsi="Consolas" w:cs="宋体"/>
          <w:i w:val="0"/>
          <w:color w:val="000000"/>
          <w:kern w:val="0"/>
          <w:sz w:val="21"/>
          <w:szCs w:val="21"/>
        </w:rPr>
        <w:t>(</w:t>
      </w:r>
      <w:proofErr w:type="gramEnd"/>
    </w:p>
    <w:p w14:paraId="02B3B71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43847E0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template_name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xml:space="preserve">-- e.g. </w:t>
      </w:r>
      <w:proofErr w:type="spellStart"/>
      <w:r w:rsidRPr="007C5520">
        <w:rPr>
          <w:rFonts w:ascii="Consolas" w:eastAsia="宋体" w:hAnsi="Consolas" w:cs="宋体"/>
          <w:i w:val="0"/>
          <w:color w:val="008000"/>
          <w:kern w:val="0"/>
          <w:sz w:val="21"/>
          <w:szCs w:val="21"/>
        </w:rPr>
        <w:t>asx_dividend</w:t>
      </w:r>
      <w:proofErr w:type="spellEnd"/>
      <w:r w:rsidRPr="007C5520">
        <w:rPr>
          <w:rFonts w:ascii="Consolas" w:eastAsia="宋体" w:hAnsi="Consolas" w:cs="宋体"/>
          <w:i w:val="0"/>
          <w:color w:val="008000"/>
          <w:kern w:val="0"/>
          <w:sz w:val="21"/>
          <w:szCs w:val="21"/>
        </w:rPr>
        <w:t xml:space="preserve">, perpetual, </w:t>
      </w:r>
      <w:proofErr w:type="spellStart"/>
      <w:r w:rsidRPr="007C5520">
        <w:rPr>
          <w:rFonts w:ascii="Consolas" w:eastAsia="宋体" w:hAnsi="Consolas" w:cs="宋体"/>
          <w:i w:val="0"/>
          <w:color w:val="008000"/>
          <w:kern w:val="0"/>
          <w:sz w:val="21"/>
          <w:szCs w:val="21"/>
        </w:rPr>
        <w:t>etc</w:t>
      </w:r>
      <w:proofErr w:type="spellEnd"/>
    </w:p>
    <w:p w14:paraId="4CE35F4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currency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p>
    <w:p w14:paraId="49CB395A"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income_rate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146416A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aud2nzd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EC4C54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franked_pct</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DD1F84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total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B2DDB49"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unfranked_pct</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69425B2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supplementary_dividend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1AFECFE"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tax_rate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5238F7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is_valid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00445F4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update_timestamp</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5A0777A9" w14:textId="77777777" w:rsidR="007C5520" w:rsidRPr="007C5520" w:rsidRDefault="007C5520" w:rsidP="007C5520">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239901D8" w14:textId="7B573395" w:rsidR="005A2AEA" w:rsidRPr="00814DB8" w:rsidRDefault="005A2AEA" w:rsidP="007C5520">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p>
    <w:p w14:paraId="46C75B26" w14:textId="77777777" w:rsidR="00F24870" w:rsidRPr="005A2AEA"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02E333ED" w:rsidR="00A037A4" w:rsidRDefault="00200328" w:rsidP="00A037A4">
      <w:pPr>
        <w:spacing w:after="312"/>
        <w:ind w:leftChars="62" w:left="149" w:firstLine="211"/>
        <w:jc w:val="both"/>
        <w:rPr>
          <w:b/>
          <w:bCs/>
        </w:rPr>
      </w:pPr>
      <w:r>
        <w:rPr>
          <w:b/>
          <w:bCs/>
        </w:rPr>
        <w:t>Spider</w:t>
      </w:r>
      <w:r w:rsidR="00797C2D" w:rsidRPr="00797C2D">
        <w:rPr>
          <w:b/>
          <w:bCs/>
        </w:rPr>
        <w:t xml:space="preserve"> Interface</w:t>
      </w:r>
      <w:r w:rsidR="00A037A4">
        <w:rPr>
          <w:b/>
          <w:bCs/>
        </w:rPr>
        <w:t>:</w:t>
      </w:r>
    </w:p>
    <w:p w14:paraId="6885E7E9" w14:textId="0C2AB157" w:rsidR="00A037A4" w:rsidRPr="00035ECF" w:rsidRDefault="00797C2D" w:rsidP="00A037A4">
      <w:pPr>
        <w:spacing w:after="312"/>
        <w:ind w:leftChars="62" w:left="149" w:firstLine="211"/>
        <w:jc w:val="both"/>
        <w:rPr>
          <w:rFonts w:eastAsiaTheme="minorEastAsia"/>
        </w:rPr>
      </w:pPr>
      <w:r w:rsidRPr="00797C2D">
        <w:t>Show the latest data update time of each website in database</w:t>
      </w:r>
      <w:r w:rsidR="00A037A4">
        <w:t xml:space="preserve"> </w:t>
      </w:r>
      <w:r w:rsidR="00035ECF">
        <w:rPr>
          <w:rFonts w:eastAsiaTheme="minorEastAsia" w:hint="eastAsia"/>
        </w:rPr>
        <w:t>(</w:t>
      </w:r>
      <w:proofErr w:type="spellStart"/>
      <w:r w:rsidR="00035ECF" w:rsidRPr="00AB47A5">
        <w:rPr>
          <w:rFonts w:ascii="Consolas" w:eastAsia="宋体" w:hAnsi="Consolas" w:cs="宋体"/>
          <w:i w:val="0"/>
          <w:color w:val="000000"/>
          <w:kern w:val="0"/>
          <w:sz w:val="21"/>
          <w:szCs w:val="21"/>
        </w:rPr>
        <w:t>update_timestamp</w:t>
      </w:r>
      <w:proofErr w:type="spellEnd"/>
      <w:r w:rsidR="00035ECF">
        <w:rPr>
          <w:rFonts w:ascii="Consolas" w:eastAsia="宋体" w:hAnsi="Consolas" w:cs="宋体" w:hint="eastAsia"/>
          <w:i w:val="0"/>
          <w:color w:val="000000"/>
          <w:kern w:val="0"/>
          <w:sz w:val="21"/>
          <w:szCs w:val="21"/>
        </w:rPr>
        <w:t xml:space="preserve"> </w:t>
      </w:r>
      <w:r w:rsidR="00F84EB0">
        <w:rPr>
          <w:rFonts w:ascii="Consolas" w:eastAsia="宋体" w:hAnsi="Consolas" w:cs="宋体"/>
          <w:i w:val="0"/>
          <w:color w:val="000000"/>
          <w:kern w:val="0"/>
          <w:sz w:val="21"/>
          <w:szCs w:val="21"/>
        </w:rPr>
        <w:t xml:space="preserve">column </w:t>
      </w:r>
      <w:r w:rsidR="00035ECF">
        <w:t xml:space="preserve">in </w:t>
      </w:r>
      <w:proofErr w:type="spellStart"/>
      <w:r w:rsidR="00035ECF">
        <w:t>asx_info</w:t>
      </w:r>
      <w:proofErr w:type="spellEnd"/>
      <w:r w:rsidR="00035ECF">
        <w:t xml:space="preserve"> table)</w:t>
      </w:r>
    </w:p>
    <w:p w14:paraId="61D204E5" w14:textId="7F76984E" w:rsidR="00A037A4" w:rsidRDefault="00797C2D" w:rsidP="00A037A4">
      <w:pPr>
        <w:spacing w:after="312"/>
        <w:ind w:leftChars="62" w:left="149" w:firstLine="211"/>
        <w:jc w:val="both"/>
      </w:pPr>
      <w:r w:rsidRPr="00797C2D">
        <w:t xml:space="preserve">Download </w:t>
      </w:r>
      <w:r w:rsidR="00035ECF">
        <w:t>the latest</w:t>
      </w:r>
      <w:r w:rsidRPr="00797C2D">
        <w:t xml:space="preserve"> day's data from a custom website </w:t>
      </w:r>
      <w:r w:rsidR="00035ECF">
        <w:t>(for ASX, user can download today’s data, and the previous business day’s data)</w:t>
      </w:r>
    </w:p>
    <w:p w14:paraId="7FA492EE" w14:textId="7B700148" w:rsidR="00A037A4" w:rsidRDefault="00797C2D" w:rsidP="00A037A4">
      <w:pPr>
        <w:spacing w:after="312"/>
        <w:ind w:leftChars="62" w:left="149" w:firstLine="211"/>
        <w:jc w:val="both"/>
      </w:pPr>
      <w:r w:rsidRPr="00797C2D">
        <w:t xml:space="preserve">Download </w:t>
      </w:r>
      <w:r w:rsidR="00956756">
        <w:t>the whole year’s specific company announcements</w:t>
      </w:r>
      <w:r w:rsidR="00746562">
        <w:t xml:space="preserve"> information</w:t>
      </w:r>
      <w:r w:rsidRPr="00797C2D">
        <w:t xml:space="preserve"> from </w:t>
      </w:r>
      <w:r w:rsidR="00956756">
        <w:t>ASX</w:t>
      </w:r>
      <w:r w:rsidRPr="00797C2D">
        <w:t xml:space="preserve"> website</w:t>
      </w:r>
      <w:r w:rsidR="00956756">
        <w:t xml:space="preserve"> (user should input the ASX code and the Year)</w:t>
      </w:r>
    </w:p>
    <w:p w14:paraId="0BAED265" w14:textId="7DB400F7" w:rsidR="00797C2D" w:rsidRDefault="00797C2D" w:rsidP="00A037A4">
      <w:pPr>
        <w:spacing w:after="312"/>
        <w:ind w:leftChars="62" w:left="149" w:firstLine="211"/>
        <w:jc w:val="both"/>
      </w:pPr>
      <w:r w:rsidRPr="00797C2D">
        <w:t xml:space="preserve">Activate daily spider process </w:t>
      </w:r>
      <w:r w:rsidR="00A037A4">
        <w:t>(</w:t>
      </w:r>
      <w:r w:rsidRPr="00797C2D">
        <w:t xml:space="preserve">Update the latest information from 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7C9AF6BE" w:rsidR="0032225B" w:rsidRPr="009A6BEC" w:rsidRDefault="0032225B" w:rsidP="00A037A4">
      <w:pPr>
        <w:spacing w:after="312"/>
        <w:ind w:leftChars="62" w:left="149" w:firstLine="211"/>
        <w:jc w:val="both"/>
        <w:rPr>
          <w:rFonts w:eastAsiaTheme="minorEastAsia" w:hint="eastAsia"/>
        </w:rPr>
      </w:pPr>
      <w:r>
        <w:t>Show the database information, including table, DB address</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61592E48" w:rsidR="0032225B" w:rsidRDefault="00D2165F" w:rsidP="00A037A4">
      <w:pPr>
        <w:spacing w:after="312"/>
        <w:ind w:leftChars="62" w:left="149" w:firstLine="211"/>
        <w:jc w:val="both"/>
      </w:pPr>
      <w:r>
        <w:t>Dr</w:t>
      </w:r>
      <w:r w:rsidR="00A5464A">
        <w:t>ag</w:t>
      </w:r>
      <w:r>
        <w:t xml:space="preserve"> and </w:t>
      </w:r>
      <w:r w:rsidR="000D2858">
        <w:t>d</w:t>
      </w:r>
      <w:r>
        <w:t>rop a file</w:t>
      </w:r>
      <w:r w:rsidR="000D2858">
        <w:t xml:space="preserve"> (usually a .pdf or .xlsx file contains dividend data)</w:t>
      </w:r>
      <w:r>
        <w:t xml:space="preserve"> in a</w:t>
      </w:r>
      <w:r w:rsidR="00CA1CCF">
        <w:rPr>
          <w:rFonts w:eastAsiaTheme="minorEastAsia" w:hint="eastAsia"/>
        </w:rPr>
        <w:t xml:space="preserve"> small</w:t>
      </w:r>
      <w:r>
        <w:t xml:space="preserve"> gray area, </w:t>
      </w:r>
      <w:r w:rsidR="000D2858">
        <w:t>then</w:t>
      </w:r>
      <w:r>
        <w:t xml:space="preserve"> select a template to start a File Parser process and display the result. The UI will display the template</w:t>
      </w:r>
      <w:r w:rsidR="00CA1CCF">
        <w:rPr>
          <w:rFonts w:eastAsiaTheme="minorEastAsia" w:hint="eastAsia"/>
        </w:rPr>
        <w:t xml:space="preserve"> with</w:t>
      </w:r>
      <w:r>
        <w:t xml:space="preserve"> the parsed </w:t>
      </w:r>
      <w:r w:rsidR="00970627">
        <w:t>result</w:t>
      </w:r>
      <w:r>
        <w:t xml:space="preserve"> in the form.</w:t>
      </w:r>
    </w:p>
    <w:p w14:paraId="1BD75B85" w14:textId="189B794D" w:rsidR="00D2165F" w:rsidRDefault="00D2165F" w:rsidP="00D2165F">
      <w:pPr>
        <w:spacing w:after="312"/>
        <w:ind w:leftChars="62" w:left="149"/>
        <w:jc w:val="both"/>
      </w:pPr>
      <w:r>
        <w:t>Column Name 1 in DB | re pattern 1 | (value after parsed, can be edited) | comment</w:t>
      </w:r>
    </w:p>
    <w:p w14:paraId="3A5D19A8" w14:textId="082061B9" w:rsidR="00D2165F" w:rsidRPr="00797C2D" w:rsidRDefault="00D2165F" w:rsidP="00D2165F">
      <w:pPr>
        <w:spacing w:after="312"/>
        <w:ind w:leftChars="62" w:left="149"/>
        <w:jc w:val="both"/>
      </w:pPr>
      <w:r>
        <w:t>Column Name 2 in DB | re pattern 2 | (value after parsed, can be edited) | comment</w:t>
      </w:r>
    </w:p>
    <w:p w14:paraId="72CCEAEA" w14:textId="57BEB6AE" w:rsidR="00D2165F" w:rsidRDefault="00D2165F" w:rsidP="00D2165F">
      <w:pPr>
        <w:spacing w:after="312"/>
        <w:ind w:leftChars="62" w:left="149"/>
        <w:jc w:val="both"/>
      </w:pPr>
      <w:r>
        <w:t xml:space="preserve">Some columns are not directly parsed from the file, a certain number of business rules will apply </w:t>
      </w:r>
      <w:proofErr w:type="gramStart"/>
      <w:r>
        <w:t>on</w:t>
      </w:r>
      <w:proofErr w:type="gramEnd"/>
      <w:r>
        <w:t xml:space="preserve"> them, </w:t>
      </w:r>
      <w:proofErr w:type="gramStart"/>
      <w:r>
        <w:t>like</w:t>
      </w:r>
      <w:proofErr w:type="gramEnd"/>
      <w:r>
        <w:t xml:space="preserve"> it can be the sum of other columns. In this case, the applied business rules will be displayed in the Comment field</w:t>
      </w:r>
      <w:r w:rsidR="00CA1CCF">
        <w:rPr>
          <w:rFonts w:eastAsiaTheme="minorEastAsia" w:hint="eastAsia"/>
        </w:rPr>
        <w:t xml:space="preserve"> automatically</w:t>
      </w:r>
      <w:r>
        <w:t>.</w:t>
      </w:r>
    </w:p>
    <w:p w14:paraId="50B83116" w14:textId="56241263" w:rsidR="00872CA0" w:rsidRDefault="00872CA0" w:rsidP="00D2165F">
      <w:pPr>
        <w:spacing w:after="312"/>
        <w:ind w:leftChars="62" w:left="149"/>
        <w:jc w:val="both"/>
      </w:pPr>
      <w:r>
        <w:t>E.g.</w:t>
      </w:r>
    </w:p>
    <w:p w14:paraId="426B9E86" w14:textId="427AD5F5" w:rsidR="00872CA0" w:rsidRDefault="00872CA0" w:rsidP="00D2165F">
      <w:pPr>
        <w:spacing w:after="312"/>
        <w:ind w:leftChars="62" w:left="149"/>
        <w:jc w:val="both"/>
      </w:pPr>
      <w:r>
        <w:lastRenderedPageBreak/>
        <w:t xml:space="preserve">Template </w:t>
      </w:r>
      <w:proofErr w:type="spellStart"/>
      <w:r>
        <w:t>asx_nz_data</w:t>
      </w:r>
      <w:proofErr w:type="spellEnd"/>
      <w:r>
        <w:t>:</w:t>
      </w:r>
    </w:p>
    <w:tbl>
      <w:tblPr>
        <w:tblStyle w:val="af0"/>
        <w:tblW w:w="0" w:type="auto"/>
        <w:tblInd w:w="149" w:type="dxa"/>
        <w:tblLayout w:type="fixed"/>
        <w:tblLook w:val="04A0" w:firstRow="1" w:lastRow="0" w:firstColumn="1" w:lastColumn="0" w:noHBand="0" w:noVBand="1"/>
      </w:tblPr>
      <w:tblGrid>
        <w:gridCol w:w="1417"/>
        <w:gridCol w:w="3249"/>
        <w:gridCol w:w="992"/>
        <w:gridCol w:w="2489"/>
      </w:tblGrid>
      <w:tr w:rsidR="002D0A8F" w14:paraId="35522CA4" w14:textId="77777777" w:rsidTr="00AD6F80">
        <w:tc>
          <w:tcPr>
            <w:tcW w:w="1417" w:type="dxa"/>
          </w:tcPr>
          <w:p w14:paraId="6105DA45" w14:textId="1900C922" w:rsidR="00872CA0" w:rsidRDefault="00872CA0" w:rsidP="00AD6F80">
            <w:pPr>
              <w:spacing w:after="312"/>
              <w:ind w:leftChars="0" w:left="0"/>
              <w:jc w:val="both"/>
            </w:pPr>
            <w:r>
              <w:t>Column Name</w:t>
            </w:r>
          </w:p>
        </w:tc>
        <w:tc>
          <w:tcPr>
            <w:tcW w:w="3249" w:type="dxa"/>
          </w:tcPr>
          <w:p w14:paraId="38937B7C" w14:textId="67638D19" w:rsidR="00872CA0" w:rsidRDefault="00872CA0" w:rsidP="00AD6F80">
            <w:pPr>
              <w:spacing w:after="312"/>
              <w:ind w:leftChars="0" w:left="0"/>
              <w:jc w:val="both"/>
            </w:pPr>
            <w:r>
              <w:t>re pattern</w:t>
            </w:r>
          </w:p>
        </w:tc>
        <w:tc>
          <w:tcPr>
            <w:tcW w:w="992" w:type="dxa"/>
          </w:tcPr>
          <w:p w14:paraId="0CF5058A" w14:textId="2FE752F7" w:rsidR="00872CA0" w:rsidRDefault="00872CA0" w:rsidP="00AD6F80">
            <w:pPr>
              <w:spacing w:after="312"/>
              <w:ind w:leftChars="0" w:left="0"/>
              <w:jc w:val="both"/>
            </w:pPr>
            <w:r>
              <w:t>value</w:t>
            </w:r>
          </w:p>
        </w:tc>
        <w:tc>
          <w:tcPr>
            <w:tcW w:w="2489" w:type="dxa"/>
          </w:tcPr>
          <w:p w14:paraId="2EE2292B" w14:textId="2BC70A5A" w:rsidR="00872CA0" w:rsidRDefault="00872CA0" w:rsidP="00AD6F80">
            <w:pPr>
              <w:spacing w:after="312"/>
              <w:ind w:leftChars="0" w:left="0"/>
              <w:jc w:val="both"/>
            </w:pPr>
            <w:r>
              <w:t>comment</w:t>
            </w:r>
          </w:p>
        </w:tc>
      </w:tr>
      <w:tr w:rsidR="002D0A8F" w14:paraId="0FDE2606" w14:textId="77777777" w:rsidTr="00AD6F80">
        <w:tc>
          <w:tcPr>
            <w:tcW w:w="1417" w:type="dxa"/>
          </w:tcPr>
          <w:p w14:paraId="2C875723" w14:textId="03378C54" w:rsidR="00872CA0" w:rsidRDefault="00872CA0" w:rsidP="00AD6F80">
            <w:pPr>
              <w:spacing w:after="312"/>
              <w:ind w:leftChars="0" w:left="0"/>
              <w:jc w:val="both"/>
            </w:pPr>
            <w:proofErr w:type="spellStart"/>
            <w:r>
              <w:t>ex_date</w:t>
            </w:r>
            <w:proofErr w:type="spellEnd"/>
          </w:p>
        </w:tc>
        <w:tc>
          <w:tcPr>
            <w:tcW w:w="3249" w:type="dxa"/>
          </w:tcPr>
          <w:p w14:paraId="5F269F19" w14:textId="1DA80F0C" w:rsidR="00872CA0" w:rsidRDefault="00872CA0" w:rsidP="00AD6F80">
            <w:pPr>
              <w:spacing w:after="312"/>
              <w:ind w:leftChars="0" w:left="0"/>
              <w:jc w:val="both"/>
            </w:pPr>
            <w:r>
              <w:t>2A\\.5\\.</w:t>
            </w:r>
            <w:proofErr w:type="spellStart"/>
            <w:r>
              <w:t>s+Ex</w:t>
            </w:r>
            <w:proofErr w:type="spellEnd"/>
            <w:r>
              <w:t xml:space="preserve"> Date\\s*\</w:t>
            </w:r>
            <w:proofErr w:type="gramStart"/>
            <w:r>
              <w:t>n?(</w:t>
            </w:r>
            <w:proofErr w:type="gramEnd"/>
            <w:r>
              <w:t>\\d{1,2}/\\d{1,2}/</w:t>
            </w:r>
            <w:proofErr w:type="gramStart"/>
            <w:r>
              <w:t>\\d{</w:t>
            </w:r>
            <w:proofErr w:type="gramEnd"/>
            <w:r>
              <w:t>4}</w:t>
            </w:r>
          </w:p>
        </w:tc>
        <w:tc>
          <w:tcPr>
            <w:tcW w:w="992" w:type="dxa"/>
          </w:tcPr>
          <w:p w14:paraId="67B26390" w14:textId="52E6EC9C" w:rsidR="00872CA0" w:rsidRDefault="00872CA0" w:rsidP="00AD6F80">
            <w:pPr>
              <w:spacing w:after="312"/>
              <w:ind w:leftChars="0" w:left="0"/>
              <w:jc w:val="both"/>
            </w:pPr>
            <w:r>
              <w:t>2024-09-19</w:t>
            </w:r>
          </w:p>
        </w:tc>
        <w:tc>
          <w:tcPr>
            <w:tcW w:w="2489" w:type="dxa"/>
          </w:tcPr>
          <w:p w14:paraId="41A27137" w14:textId="77777777" w:rsidR="00872CA0" w:rsidRDefault="00872CA0" w:rsidP="00AD6F80">
            <w:pPr>
              <w:spacing w:after="312"/>
              <w:ind w:leftChars="0" w:left="0"/>
              <w:jc w:val="both"/>
            </w:pPr>
          </w:p>
        </w:tc>
      </w:tr>
      <w:tr w:rsidR="002D0A8F" w14:paraId="102E71ED" w14:textId="77777777" w:rsidTr="00AD6F80">
        <w:tc>
          <w:tcPr>
            <w:tcW w:w="1417" w:type="dxa"/>
          </w:tcPr>
          <w:p w14:paraId="58655BE4" w14:textId="3BCB33DD" w:rsidR="00872CA0" w:rsidRDefault="00872CA0" w:rsidP="00AD6F80">
            <w:pPr>
              <w:spacing w:after="312"/>
              <w:ind w:leftChars="0" w:left="0"/>
              <w:jc w:val="both"/>
            </w:pPr>
            <w:proofErr w:type="spellStart"/>
            <w:r>
              <w:t>income_rate</w:t>
            </w:r>
            <w:proofErr w:type="spellEnd"/>
          </w:p>
        </w:tc>
        <w:tc>
          <w:tcPr>
            <w:tcW w:w="3249" w:type="dxa"/>
          </w:tcPr>
          <w:p w14:paraId="43831E02" w14:textId="0566DECB" w:rsidR="00872CA0" w:rsidRDefault="00872CA0" w:rsidP="00AD6F80">
            <w:pPr>
              <w:spacing w:after="312"/>
              <w:ind w:leftChars="0" w:left="0"/>
              <w:jc w:val="both"/>
            </w:pPr>
            <w:r>
              <w:t>2A</w:t>
            </w:r>
            <w:r w:rsidR="002D0A8F">
              <w:t>\\.9[</w:t>
            </w:r>
            <w:proofErr w:type="gramStart"/>
            <w:r w:rsidR="002D0A8F">
              <w:t>\\d\\D]*</w:t>
            </w:r>
            <w:proofErr w:type="gramEnd"/>
            <w:r w:rsidR="002D0A8F">
              <w:t>?</w:t>
            </w:r>
            <w:proofErr w:type="gramStart"/>
            <w:r w:rsidR="002D0A8F">
              <w:t>(?:</w:t>
            </w:r>
            <w:proofErr w:type="gramEnd"/>
            <w:r w:rsidR="002D0A8F">
              <w:t>AUD|NZD|</w:t>
            </w:r>
            <w:proofErr w:type="gramStart"/>
            <w:r w:rsidR="002D0A8F">
              <w:t>USD)\\s(.*?)\\n</w:t>
            </w:r>
            <w:proofErr w:type="gramEnd"/>
          </w:p>
        </w:tc>
        <w:tc>
          <w:tcPr>
            <w:tcW w:w="992" w:type="dxa"/>
          </w:tcPr>
          <w:p w14:paraId="182306F3" w14:textId="59EEB4AB" w:rsidR="00872CA0" w:rsidRDefault="002D0A8F" w:rsidP="00AD6F80">
            <w:pPr>
              <w:spacing w:after="312"/>
              <w:ind w:leftChars="0" w:left="0"/>
              <w:jc w:val="both"/>
            </w:pPr>
            <w:r>
              <w:t>0.4</w:t>
            </w:r>
          </w:p>
        </w:tc>
        <w:tc>
          <w:tcPr>
            <w:tcW w:w="2489" w:type="dxa"/>
          </w:tcPr>
          <w:p w14:paraId="12CE520D" w14:textId="77777777" w:rsidR="00872CA0" w:rsidRDefault="00872CA0" w:rsidP="00AD6F80">
            <w:pPr>
              <w:spacing w:after="312"/>
              <w:ind w:leftChars="0" w:left="0"/>
              <w:jc w:val="both"/>
            </w:pPr>
          </w:p>
        </w:tc>
      </w:tr>
      <w:tr w:rsidR="002D0A8F" w14:paraId="299C2AF1" w14:textId="77777777" w:rsidTr="00AD6F80">
        <w:tc>
          <w:tcPr>
            <w:tcW w:w="1417" w:type="dxa"/>
          </w:tcPr>
          <w:p w14:paraId="60D54339" w14:textId="1A042C99" w:rsidR="00872CA0" w:rsidRDefault="002D0A8F" w:rsidP="00AD6F80">
            <w:pPr>
              <w:spacing w:after="312"/>
              <w:ind w:leftChars="0" w:left="0"/>
              <w:jc w:val="both"/>
            </w:pPr>
            <w:proofErr w:type="spellStart"/>
            <w:r>
              <w:t>tax_rate</w:t>
            </w:r>
            <w:proofErr w:type="spellEnd"/>
          </w:p>
        </w:tc>
        <w:tc>
          <w:tcPr>
            <w:tcW w:w="3249" w:type="dxa"/>
          </w:tcPr>
          <w:p w14:paraId="7080CF66" w14:textId="77777777" w:rsidR="00872CA0" w:rsidRDefault="00872CA0" w:rsidP="00AD6F80">
            <w:pPr>
              <w:spacing w:after="312"/>
              <w:ind w:leftChars="0" w:left="0"/>
              <w:jc w:val="both"/>
            </w:pPr>
          </w:p>
        </w:tc>
        <w:tc>
          <w:tcPr>
            <w:tcW w:w="992" w:type="dxa"/>
          </w:tcPr>
          <w:p w14:paraId="18A17943" w14:textId="79DE64F8" w:rsidR="00872CA0" w:rsidRDefault="002D0A8F" w:rsidP="00AD6F80">
            <w:pPr>
              <w:spacing w:after="312"/>
              <w:ind w:leftChars="0" w:left="0"/>
              <w:jc w:val="both"/>
            </w:pPr>
            <w:r>
              <w:t>0.3</w:t>
            </w:r>
          </w:p>
        </w:tc>
        <w:tc>
          <w:tcPr>
            <w:tcW w:w="2489" w:type="dxa"/>
          </w:tcPr>
          <w:p w14:paraId="05B5C6E6" w14:textId="32119E4C" w:rsidR="00872CA0" w:rsidRDefault="00AD6F80" w:rsidP="00AD6F80">
            <w:pPr>
              <w:spacing w:after="312"/>
              <w:ind w:leftChars="0" w:left="0"/>
              <w:jc w:val="both"/>
            </w:pPr>
            <w:r>
              <w:t>Default value p</w:t>
            </w:r>
            <w:r w:rsidR="002D0A8F">
              <w:t>er</w:t>
            </w:r>
            <w:r>
              <w:t xml:space="preserve"> </w:t>
            </w:r>
            <w:r w:rsidR="002D0A8F">
              <w:t>client specific</w:t>
            </w:r>
          </w:p>
        </w:tc>
      </w:tr>
    </w:tbl>
    <w:p w14:paraId="2149DF49" w14:textId="77777777" w:rsidR="00872CA0" w:rsidRDefault="00872CA0" w:rsidP="00D2165F">
      <w:pPr>
        <w:spacing w:after="312"/>
        <w:ind w:leftChars="62" w:left="149"/>
        <w:jc w:val="both"/>
      </w:pPr>
    </w:p>
    <w:p w14:paraId="7154F9BA" w14:textId="58B492DE" w:rsidR="00AD6F80" w:rsidRDefault="00AD6F80" w:rsidP="00D2165F">
      <w:pPr>
        <w:spacing w:after="312"/>
        <w:ind w:leftChars="62" w:left="149"/>
        <w:jc w:val="both"/>
      </w:pPr>
      <w:r>
        <w:t xml:space="preserve">This form will include formula and validation column in the future version. </w:t>
      </w:r>
      <w:r w:rsidR="00BF292A">
        <w:t xml:space="preserve">As for now, users can submit </w:t>
      </w:r>
      <w:proofErr w:type="gramStart"/>
      <w:r w:rsidR="00BF292A">
        <w:t>formula</w:t>
      </w:r>
      <w:proofErr w:type="gramEnd"/>
      <w:r w:rsidR="00BF292A">
        <w:t xml:space="preserve"> and validation to the developer </w:t>
      </w:r>
      <w:proofErr w:type="gramStart"/>
      <w:r w:rsidR="00BF292A">
        <w:t>for adding</w:t>
      </w:r>
      <w:proofErr w:type="gramEnd"/>
      <w:r w:rsidR="00BF292A">
        <w:t xml:space="preserve"> them in a certain template.</w:t>
      </w:r>
    </w:p>
    <w:p w14:paraId="74CE2E0F" w14:textId="38F2366F" w:rsidR="00D2165F" w:rsidRDefault="00D2165F" w:rsidP="00D2165F">
      <w:pPr>
        <w:spacing w:after="312"/>
        <w:ind w:leftChars="62" w:left="149"/>
        <w:jc w:val="both"/>
      </w:pPr>
      <w:r>
        <w:tab/>
        <w:t xml:space="preserve">Add an extra row from a dropdown list of column </w:t>
      </w:r>
      <w:proofErr w:type="gramStart"/>
      <w:r>
        <w:t>name</w:t>
      </w:r>
      <w:proofErr w:type="gramEnd"/>
      <w:r>
        <w:t>, and input a value and comment</w:t>
      </w:r>
    </w:p>
    <w:p w14:paraId="0A59B1C1" w14:textId="5D4073CE" w:rsidR="00010810" w:rsidRDefault="00010810" w:rsidP="00010810">
      <w:pPr>
        <w:spacing w:after="312"/>
        <w:ind w:leftChars="0" w:left="0"/>
        <w:jc w:val="both"/>
      </w:pPr>
      <w:r>
        <w:t xml:space="preserve">    Invalid input will raise a fly-out-right-top window to alert users.</w:t>
      </w:r>
    </w:p>
    <w:p w14:paraId="0F49F183" w14:textId="50AEA2B9" w:rsidR="00D2165F" w:rsidRDefault="00D2165F" w:rsidP="00D2165F">
      <w:pPr>
        <w:spacing w:after="312"/>
        <w:ind w:leftChars="62" w:left="149"/>
        <w:jc w:val="both"/>
      </w:pPr>
      <w:r>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w:t>
      </w:r>
      <w:proofErr w:type="gramStart"/>
      <w:r w:rsidRPr="00D2165F">
        <w:t>User</w:t>
      </w:r>
      <w:proofErr w:type="gramEnd"/>
      <w:r w:rsidRPr="00D2165F">
        <w:t xml:space="preserve"> will be asked to input some extra information</w:t>
      </w:r>
      <w:r w:rsidR="0044241C">
        <w:rPr>
          <w:rFonts w:eastAsiaTheme="minorEastAsia" w:hint="eastAsia"/>
        </w:rPr>
        <w:t xml:space="preserve"> (i.e., </w:t>
      </w:r>
      <w:proofErr w:type="spellStart"/>
      <w:r w:rsidR="0044241C">
        <w:rPr>
          <w:rFonts w:eastAsiaTheme="minorEastAsia" w:hint="eastAsia"/>
        </w:rPr>
        <w:t>Asset_ID</w:t>
      </w:r>
      <w:proofErr w:type="spellEnd"/>
      <w:r w:rsidR="0044241C">
        <w:rPr>
          <w:rFonts w:eastAsiaTheme="minorEastAsia" w:hint="eastAsia"/>
        </w:rPr>
        <w:t xml:space="preserve">, </w:t>
      </w:r>
      <w:proofErr w:type="spellStart"/>
      <w:r w:rsidR="0044241C">
        <w:rPr>
          <w:rFonts w:eastAsiaTheme="minorEastAsia" w:hint="eastAsia"/>
        </w:rPr>
        <w:t>Ex_Date</w:t>
      </w:r>
      <w:proofErr w:type="spellEnd"/>
      <w:r w:rsidR="0044241C">
        <w:rPr>
          <w:rFonts w:eastAsiaTheme="minorEastAsia" w:hint="eastAsia"/>
        </w:rPr>
        <w:t xml:space="preserve">, </w:t>
      </w:r>
      <w:proofErr w:type="spellStart"/>
      <w:proofErr w:type="gramStart"/>
      <w:r w:rsidR="0044241C">
        <w:rPr>
          <w:rFonts w:eastAsiaTheme="minorEastAsia" w:hint="eastAsia"/>
        </w:rPr>
        <w:t>Pay</w:t>
      </w:r>
      <w:proofErr w:type="gramEnd"/>
      <w:r w:rsidR="0044241C">
        <w:rPr>
          <w:rFonts w:eastAsiaTheme="minorEastAsia" w:hint="eastAsia"/>
        </w:rPr>
        <w:t>_Date</w:t>
      </w:r>
      <w:proofErr w:type="spellEnd"/>
      <w:r w:rsidR="0044241C">
        <w:rPr>
          <w:rFonts w:eastAsiaTheme="minorEastAsia" w:hint="eastAsia"/>
        </w:rPr>
        <w:t xml:space="preserve">, </w:t>
      </w:r>
      <w:proofErr w:type="spellStart"/>
      <w:r w:rsidR="0044241C">
        <w:rPr>
          <w:rFonts w:eastAsiaTheme="minorEastAsia" w:hint="eastAsia"/>
        </w:rPr>
        <w:t>MR_Income_Rate</w:t>
      </w:r>
      <w:proofErr w:type="spellEnd"/>
      <w:r w:rsidR="0044241C">
        <w:rPr>
          <w:rFonts w:eastAsiaTheme="minorEastAsia" w:hint="eastAsia"/>
        </w:rPr>
        <w:t>)</w:t>
      </w:r>
      <w:r w:rsidRPr="00D2165F">
        <w:t xml:space="preserve">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 xml:space="preserve">input field. The files in the folder will automatically </w:t>
      </w:r>
      <w:proofErr w:type="gramStart"/>
      <w:r w:rsidRPr="00D2165F">
        <w:t>parse</w:t>
      </w:r>
      <w:r>
        <w:t>d</w:t>
      </w:r>
      <w:proofErr w:type="gramEnd"/>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 xml:space="preserve">An editable table area will show, </w:t>
      </w:r>
      <w:proofErr w:type="gramStart"/>
      <w:r>
        <w:t>table</w:t>
      </w:r>
      <w:proofErr w:type="gramEnd"/>
      <w:r>
        <w:t xml:space="preserve"> will have a fixed column name set</w:t>
      </w:r>
    </w:p>
    <w:p w14:paraId="701284B8" w14:textId="7B697013" w:rsidR="00AA3233" w:rsidRDefault="00AA3233" w:rsidP="00D2165F">
      <w:pPr>
        <w:spacing w:after="312"/>
        <w:ind w:leftChars="62" w:left="149"/>
        <w:jc w:val="both"/>
      </w:pPr>
      <w:r>
        <w:tab/>
        <w:t>E.g.</w:t>
      </w:r>
    </w:p>
    <w:tbl>
      <w:tblPr>
        <w:tblStyle w:val="af0"/>
        <w:tblW w:w="0" w:type="auto"/>
        <w:tblInd w:w="149" w:type="dxa"/>
        <w:tblLook w:val="04A0" w:firstRow="1" w:lastRow="0" w:firstColumn="1" w:lastColumn="0" w:noHBand="0" w:noVBand="1"/>
      </w:tblPr>
      <w:tblGrid>
        <w:gridCol w:w="813"/>
        <w:gridCol w:w="605"/>
        <w:gridCol w:w="986"/>
        <w:gridCol w:w="812"/>
        <w:gridCol w:w="812"/>
        <w:gridCol w:w="944"/>
        <w:gridCol w:w="757"/>
        <w:gridCol w:w="1854"/>
        <w:gridCol w:w="564"/>
      </w:tblGrid>
      <w:tr w:rsidR="00970627" w14:paraId="07A6DAF0" w14:textId="39C6A958" w:rsidTr="00970627">
        <w:tc>
          <w:tcPr>
            <w:tcW w:w="761" w:type="dxa"/>
          </w:tcPr>
          <w:p w14:paraId="2919A611" w14:textId="5EB78E23" w:rsidR="00970627" w:rsidRDefault="00970627" w:rsidP="00D2165F">
            <w:pPr>
              <w:spacing w:after="312"/>
              <w:ind w:leftChars="0" w:left="0"/>
              <w:jc w:val="both"/>
            </w:pPr>
            <w:proofErr w:type="spellStart"/>
            <w:r>
              <w:t>Client</w:t>
            </w:r>
            <w:r>
              <w:lastRenderedPageBreak/>
              <w:t>_ID</w:t>
            </w:r>
            <w:proofErr w:type="spellEnd"/>
          </w:p>
        </w:tc>
        <w:tc>
          <w:tcPr>
            <w:tcW w:w="571" w:type="dxa"/>
          </w:tcPr>
          <w:p w14:paraId="475850AD" w14:textId="247F6671" w:rsidR="00970627" w:rsidRDefault="00970627" w:rsidP="00D2165F">
            <w:pPr>
              <w:spacing w:after="312"/>
              <w:ind w:leftChars="0" w:left="0"/>
              <w:jc w:val="both"/>
            </w:pPr>
            <w:r>
              <w:lastRenderedPageBreak/>
              <w:t>Fun</w:t>
            </w:r>
            <w:r>
              <w:lastRenderedPageBreak/>
              <w:t>d</w:t>
            </w:r>
          </w:p>
        </w:tc>
        <w:tc>
          <w:tcPr>
            <w:tcW w:w="919" w:type="dxa"/>
          </w:tcPr>
          <w:p w14:paraId="221BE154" w14:textId="77F23669" w:rsidR="00970627" w:rsidRDefault="00970627" w:rsidP="00D2165F">
            <w:pPr>
              <w:spacing w:after="312"/>
              <w:ind w:leftChars="0" w:left="0"/>
              <w:jc w:val="both"/>
            </w:pPr>
            <w:proofErr w:type="spellStart"/>
            <w:r>
              <w:lastRenderedPageBreak/>
              <w:t>Asset_I</w:t>
            </w:r>
            <w:r>
              <w:lastRenderedPageBreak/>
              <w:t>D</w:t>
            </w:r>
            <w:proofErr w:type="spellEnd"/>
          </w:p>
        </w:tc>
        <w:tc>
          <w:tcPr>
            <w:tcW w:w="760" w:type="dxa"/>
          </w:tcPr>
          <w:p w14:paraId="22A01D3F" w14:textId="1F217691" w:rsidR="00970627" w:rsidRDefault="00970627" w:rsidP="00D2165F">
            <w:pPr>
              <w:spacing w:after="312"/>
              <w:ind w:leftChars="0" w:left="0"/>
              <w:jc w:val="both"/>
            </w:pPr>
            <w:proofErr w:type="spellStart"/>
            <w:r>
              <w:lastRenderedPageBreak/>
              <w:t>Ex_D</w:t>
            </w:r>
            <w:r>
              <w:lastRenderedPageBreak/>
              <w:t>ate</w:t>
            </w:r>
            <w:proofErr w:type="spellEnd"/>
          </w:p>
        </w:tc>
        <w:tc>
          <w:tcPr>
            <w:tcW w:w="760" w:type="dxa"/>
          </w:tcPr>
          <w:p w14:paraId="738EC988" w14:textId="5E1BA79B" w:rsidR="00970627" w:rsidRDefault="00970627" w:rsidP="00D2165F">
            <w:pPr>
              <w:spacing w:after="312"/>
              <w:ind w:leftChars="0" w:left="0"/>
              <w:jc w:val="both"/>
            </w:pPr>
            <w:proofErr w:type="spellStart"/>
            <w:r>
              <w:lastRenderedPageBreak/>
              <w:t>Pay_</w:t>
            </w:r>
            <w:r>
              <w:lastRenderedPageBreak/>
              <w:t>Date</w:t>
            </w:r>
            <w:proofErr w:type="spellEnd"/>
          </w:p>
        </w:tc>
        <w:tc>
          <w:tcPr>
            <w:tcW w:w="881" w:type="dxa"/>
          </w:tcPr>
          <w:p w14:paraId="47D669D5" w14:textId="4CE4B483" w:rsidR="00970627" w:rsidRDefault="00970627" w:rsidP="00D2165F">
            <w:pPr>
              <w:spacing w:after="312"/>
              <w:ind w:leftChars="0" w:left="0"/>
              <w:jc w:val="both"/>
            </w:pPr>
            <w:proofErr w:type="spellStart"/>
            <w:r>
              <w:lastRenderedPageBreak/>
              <w:t>MR_In</w:t>
            </w:r>
            <w:r>
              <w:lastRenderedPageBreak/>
              <w:t>come</w:t>
            </w:r>
            <w:proofErr w:type="spellEnd"/>
          </w:p>
        </w:tc>
        <w:tc>
          <w:tcPr>
            <w:tcW w:w="710" w:type="dxa"/>
          </w:tcPr>
          <w:p w14:paraId="356126B8" w14:textId="64E0221F" w:rsidR="00970627" w:rsidRDefault="00970627" w:rsidP="00D2165F">
            <w:pPr>
              <w:spacing w:after="312"/>
              <w:ind w:leftChars="0" w:left="0"/>
              <w:jc w:val="both"/>
            </w:pPr>
            <w:r>
              <w:lastRenderedPageBreak/>
              <w:t>Type</w:t>
            </w:r>
          </w:p>
        </w:tc>
        <w:tc>
          <w:tcPr>
            <w:tcW w:w="1328" w:type="dxa"/>
          </w:tcPr>
          <w:p w14:paraId="49D62DEF" w14:textId="1522CA52" w:rsidR="00970627" w:rsidRDefault="00970627" w:rsidP="00D2165F">
            <w:pPr>
              <w:spacing w:after="312"/>
              <w:ind w:leftChars="0" w:left="0"/>
              <w:jc w:val="both"/>
            </w:pPr>
            <w:proofErr w:type="spellStart"/>
            <w:r>
              <w:t>Actoin_bar</w:t>
            </w:r>
            <w:proofErr w:type="spellEnd"/>
          </w:p>
        </w:tc>
        <w:tc>
          <w:tcPr>
            <w:tcW w:w="534" w:type="dxa"/>
          </w:tcPr>
          <w:p w14:paraId="155B5A2B" w14:textId="6A3696C7" w:rsidR="00970627" w:rsidRDefault="00970627" w:rsidP="00D2165F">
            <w:pPr>
              <w:spacing w:after="312"/>
              <w:ind w:leftChars="0" w:left="0"/>
              <w:jc w:val="both"/>
            </w:pPr>
            <w:r>
              <w:t>stat</w:t>
            </w:r>
            <w:r>
              <w:lastRenderedPageBreak/>
              <w:t>us</w:t>
            </w:r>
          </w:p>
        </w:tc>
      </w:tr>
      <w:tr w:rsidR="00970627" w14:paraId="62608316" w14:textId="6C9EE076" w:rsidTr="00970627">
        <w:tc>
          <w:tcPr>
            <w:tcW w:w="761" w:type="dxa"/>
          </w:tcPr>
          <w:p w14:paraId="2729D266" w14:textId="399D4FDF" w:rsidR="00970627" w:rsidRDefault="00970627" w:rsidP="00D2165F">
            <w:pPr>
              <w:spacing w:after="312"/>
              <w:ind w:leftChars="0" w:left="0"/>
              <w:jc w:val="both"/>
            </w:pPr>
            <w:r>
              <w:lastRenderedPageBreak/>
              <w:t>AURR</w:t>
            </w:r>
          </w:p>
        </w:tc>
        <w:tc>
          <w:tcPr>
            <w:tcW w:w="571" w:type="dxa"/>
          </w:tcPr>
          <w:p w14:paraId="6EC3A554" w14:textId="55BBDD02" w:rsidR="00970627" w:rsidRDefault="00970627" w:rsidP="00D2165F">
            <w:pPr>
              <w:spacing w:after="312"/>
              <w:ind w:leftChars="0" w:left="0"/>
              <w:jc w:val="both"/>
            </w:pPr>
            <w:r>
              <w:t>REUC</w:t>
            </w:r>
          </w:p>
        </w:tc>
        <w:tc>
          <w:tcPr>
            <w:tcW w:w="919" w:type="dxa"/>
          </w:tcPr>
          <w:p w14:paraId="62AA6F24" w14:textId="27911948" w:rsidR="00970627" w:rsidRDefault="00970627" w:rsidP="00D2165F">
            <w:pPr>
              <w:spacing w:after="312"/>
              <w:ind w:leftChars="0" w:left="0"/>
              <w:jc w:val="both"/>
            </w:pPr>
            <w:r>
              <w:t>902XGW000</w:t>
            </w:r>
          </w:p>
        </w:tc>
        <w:tc>
          <w:tcPr>
            <w:tcW w:w="760" w:type="dxa"/>
          </w:tcPr>
          <w:p w14:paraId="3F769A02" w14:textId="63FC236B" w:rsidR="00970627" w:rsidRDefault="00970627" w:rsidP="00D2165F">
            <w:pPr>
              <w:spacing w:after="312"/>
              <w:ind w:leftChars="0" w:left="0"/>
              <w:jc w:val="both"/>
            </w:pPr>
            <w:r>
              <w:t>20250731</w:t>
            </w:r>
          </w:p>
        </w:tc>
        <w:tc>
          <w:tcPr>
            <w:tcW w:w="760" w:type="dxa"/>
          </w:tcPr>
          <w:p w14:paraId="43FF2813" w14:textId="50E76DCF" w:rsidR="00970627" w:rsidRDefault="00970627" w:rsidP="00D2165F">
            <w:pPr>
              <w:spacing w:after="312"/>
              <w:ind w:leftChars="0" w:left="0"/>
              <w:jc w:val="both"/>
            </w:pPr>
            <w:r>
              <w:t>20250806</w:t>
            </w:r>
          </w:p>
        </w:tc>
        <w:tc>
          <w:tcPr>
            <w:tcW w:w="881" w:type="dxa"/>
          </w:tcPr>
          <w:p w14:paraId="2EB14994" w14:textId="6AE96F1C" w:rsidR="00970627" w:rsidRDefault="00970627" w:rsidP="00D2165F">
            <w:pPr>
              <w:spacing w:after="312"/>
              <w:ind w:leftChars="0" w:left="0"/>
              <w:jc w:val="both"/>
            </w:pPr>
            <w:r>
              <w:t>0.89</w:t>
            </w:r>
          </w:p>
        </w:tc>
        <w:tc>
          <w:tcPr>
            <w:tcW w:w="710" w:type="dxa"/>
          </w:tcPr>
          <w:p w14:paraId="73E88C1E" w14:textId="7D8F2246" w:rsidR="00970627" w:rsidRDefault="00970627" w:rsidP="00D2165F">
            <w:pPr>
              <w:spacing w:after="312"/>
              <w:ind w:leftChars="0" w:left="0"/>
              <w:jc w:val="both"/>
            </w:pPr>
            <w:r>
              <w:t>Other</w:t>
            </w:r>
          </w:p>
        </w:tc>
        <w:tc>
          <w:tcPr>
            <w:tcW w:w="1328" w:type="dxa"/>
          </w:tcPr>
          <w:p w14:paraId="5EEE53E3" w14:textId="3AE8346B" w:rsidR="00970627" w:rsidRDefault="00970627" w:rsidP="00D2165F">
            <w:pPr>
              <w:spacing w:after="312"/>
              <w:ind w:leftChars="0" w:left="0"/>
              <w:jc w:val="both"/>
            </w:pPr>
            <w:proofErr w:type="spellStart"/>
            <w:r>
              <w:t>Fetch_button|Parse_button</w:t>
            </w:r>
            <w:proofErr w:type="spellEnd"/>
          </w:p>
        </w:tc>
        <w:tc>
          <w:tcPr>
            <w:tcW w:w="534" w:type="dxa"/>
          </w:tcPr>
          <w:p w14:paraId="2615FB97" w14:textId="77777777" w:rsidR="00970627" w:rsidRDefault="00970627" w:rsidP="00D2165F">
            <w:pPr>
              <w:spacing w:after="312"/>
              <w:ind w:leftChars="0" w:left="0"/>
              <w:jc w:val="both"/>
            </w:pPr>
          </w:p>
        </w:tc>
      </w:tr>
      <w:tr w:rsidR="00970627" w14:paraId="5432F994" w14:textId="346198E9" w:rsidTr="00970627">
        <w:tc>
          <w:tcPr>
            <w:tcW w:w="761" w:type="dxa"/>
          </w:tcPr>
          <w:p w14:paraId="2B91D868" w14:textId="31CF433F" w:rsidR="00970627" w:rsidRDefault="00970627" w:rsidP="00D2165F">
            <w:pPr>
              <w:spacing w:after="312"/>
              <w:ind w:leftChars="0" w:left="0"/>
              <w:jc w:val="both"/>
            </w:pPr>
            <w:r>
              <w:t>MBFF</w:t>
            </w:r>
          </w:p>
        </w:tc>
        <w:tc>
          <w:tcPr>
            <w:tcW w:w="571" w:type="dxa"/>
          </w:tcPr>
          <w:p w14:paraId="34CE48E1" w14:textId="25F89C7C" w:rsidR="00970627" w:rsidRDefault="00970627" w:rsidP="00D2165F">
            <w:pPr>
              <w:spacing w:after="312"/>
              <w:ind w:leftChars="0" w:left="0"/>
              <w:jc w:val="both"/>
            </w:pPr>
            <w:r>
              <w:t>MAR1</w:t>
            </w:r>
          </w:p>
        </w:tc>
        <w:tc>
          <w:tcPr>
            <w:tcW w:w="919" w:type="dxa"/>
          </w:tcPr>
          <w:p w14:paraId="68CE9E60" w14:textId="28A54417" w:rsidR="00970627" w:rsidRDefault="00970627" w:rsidP="00D2165F">
            <w:pPr>
              <w:spacing w:after="312"/>
              <w:ind w:leftChars="0" w:left="0"/>
              <w:jc w:val="both"/>
            </w:pPr>
            <w:r>
              <w:t>952LEII3</w:t>
            </w:r>
          </w:p>
        </w:tc>
        <w:tc>
          <w:tcPr>
            <w:tcW w:w="760" w:type="dxa"/>
          </w:tcPr>
          <w:p w14:paraId="599EC362" w14:textId="38F1FB29" w:rsidR="00970627" w:rsidRDefault="00970627" w:rsidP="00D2165F">
            <w:pPr>
              <w:spacing w:after="312"/>
              <w:ind w:leftChars="0" w:left="0"/>
              <w:jc w:val="both"/>
            </w:pPr>
            <w:r>
              <w:t>20250701</w:t>
            </w:r>
          </w:p>
        </w:tc>
        <w:tc>
          <w:tcPr>
            <w:tcW w:w="760" w:type="dxa"/>
          </w:tcPr>
          <w:p w14:paraId="3ABA5FC4" w14:textId="53B333AA" w:rsidR="00970627" w:rsidRDefault="00970627" w:rsidP="00D2165F">
            <w:pPr>
              <w:spacing w:after="312"/>
              <w:ind w:leftChars="0" w:left="0"/>
              <w:jc w:val="both"/>
            </w:pPr>
            <w:r>
              <w:t>20251031</w:t>
            </w:r>
          </w:p>
        </w:tc>
        <w:tc>
          <w:tcPr>
            <w:tcW w:w="881" w:type="dxa"/>
          </w:tcPr>
          <w:p w14:paraId="1AF8C1E4" w14:textId="0FC3A91E" w:rsidR="00970627" w:rsidRDefault="00970627" w:rsidP="00D2165F">
            <w:pPr>
              <w:spacing w:after="312"/>
              <w:ind w:leftChars="0" w:left="0"/>
              <w:jc w:val="both"/>
            </w:pPr>
            <w:r>
              <w:t>0.004461</w:t>
            </w:r>
          </w:p>
        </w:tc>
        <w:tc>
          <w:tcPr>
            <w:tcW w:w="710" w:type="dxa"/>
          </w:tcPr>
          <w:p w14:paraId="2A71F1A6" w14:textId="6DA8F37D" w:rsidR="00970627" w:rsidRDefault="00970627" w:rsidP="00D2165F">
            <w:pPr>
              <w:spacing w:after="312"/>
              <w:ind w:leftChars="0" w:left="0"/>
              <w:jc w:val="both"/>
            </w:pPr>
            <w:r>
              <w:t>Last Actual</w:t>
            </w:r>
          </w:p>
        </w:tc>
        <w:tc>
          <w:tcPr>
            <w:tcW w:w="1328" w:type="dxa"/>
          </w:tcPr>
          <w:p w14:paraId="5C4AD28C" w14:textId="374ED827" w:rsidR="00970627" w:rsidRDefault="00970627" w:rsidP="00D2165F">
            <w:pPr>
              <w:spacing w:after="312"/>
              <w:ind w:leftChars="0" w:left="0"/>
              <w:jc w:val="both"/>
            </w:pPr>
            <w:proofErr w:type="spellStart"/>
            <w:r>
              <w:t>Fetch_button|Parse_button</w:t>
            </w:r>
            <w:proofErr w:type="spellEnd"/>
          </w:p>
        </w:tc>
        <w:tc>
          <w:tcPr>
            <w:tcW w:w="534" w:type="dxa"/>
          </w:tcPr>
          <w:p w14:paraId="1F34004F" w14:textId="77777777" w:rsidR="00970627" w:rsidRDefault="00970627" w:rsidP="00D2165F">
            <w:pPr>
              <w:spacing w:after="312"/>
              <w:ind w:leftChars="0" w:left="0"/>
              <w:jc w:val="both"/>
            </w:pPr>
          </w:p>
        </w:tc>
      </w:tr>
      <w:tr w:rsidR="00970627" w14:paraId="05E9FB35" w14:textId="28FC8C20" w:rsidTr="00970627">
        <w:tc>
          <w:tcPr>
            <w:tcW w:w="761" w:type="dxa"/>
          </w:tcPr>
          <w:p w14:paraId="429D93FC" w14:textId="16DBFAAF" w:rsidR="00970627" w:rsidRDefault="00970627" w:rsidP="00D2165F">
            <w:pPr>
              <w:spacing w:after="312"/>
              <w:ind w:leftChars="0" w:left="0"/>
              <w:jc w:val="both"/>
            </w:pPr>
            <w:r>
              <w:t>MBFF</w:t>
            </w:r>
          </w:p>
        </w:tc>
        <w:tc>
          <w:tcPr>
            <w:tcW w:w="571" w:type="dxa"/>
          </w:tcPr>
          <w:p w14:paraId="4CEFDF76" w14:textId="0C8BC566" w:rsidR="00970627" w:rsidRDefault="00970627" w:rsidP="00D2165F">
            <w:pPr>
              <w:spacing w:after="312"/>
              <w:ind w:leftChars="0" w:left="0"/>
              <w:jc w:val="both"/>
            </w:pPr>
            <w:r>
              <w:t>MAR1</w:t>
            </w:r>
          </w:p>
        </w:tc>
        <w:tc>
          <w:tcPr>
            <w:tcW w:w="919" w:type="dxa"/>
          </w:tcPr>
          <w:p w14:paraId="295C81E4" w14:textId="4BDD3089" w:rsidR="00970627" w:rsidRDefault="00970627" w:rsidP="00D2165F">
            <w:pPr>
              <w:spacing w:after="312"/>
              <w:ind w:leftChars="0" w:left="0"/>
              <w:jc w:val="both"/>
            </w:pPr>
            <w:r>
              <w:t>999XEL901</w:t>
            </w:r>
          </w:p>
        </w:tc>
        <w:tc>
          <w:tcPr>
            <w:tcW w:w="760" w:type="dxa"/>
          </w:tcPr>
          <w:p w14:paraId="5CEFE15E" w14:textId="3D0D0424" w:rsidR="00970627" w:rsidRDefault="00970627" w:rsidP="00D2165F">
            <w:pPr>
              <w:spacing w:after="312"/>
              <w:ind w:leftChars="0" w:left="0"/>
              <w:jc w:val="both"/>
            </w:pPr>
            <w:r>
              <w:t>20250731</w:t>
            </w:r>
          </w:p>
        </w:tc>
        <w:tc>
          <w:tcPr>
            <w:tcW w:w="760" w:type="dxa"/>
          </w:tcPr>
          <w:p w14:paraId="79A5AF4F" w14:textId="4DE229A7" w:rsidR="00970627" w:rsidRDefault="00970627" w:rsidP="00D2165F">
            <w:pPr>
              <w:spacing w:after="312"/>
              <w:ind w:leftChars="0" w:left="0"/>
              <w:jc w:val="both"/>
            </w:pPr>
            <w:r>
              <w:t>20251031</w:t>
            </w:r>
          </w:p>
        </w:tc>
        <w:tc>
          <w:tcPr>
            <w:tcW w:w="881" w:type="dxa"/>
          </w:tcPr>
          <w:p w14:paraId="64435392" w14:textId="0481A1CC" w:rsidR="00970627" w:rsidRDefault="00970627" w:rsidP="00D2165F">
            <w:pPr>
              <w:spacing w:after="312"/>
              <w:ind w:leftChars="0" w:left="0"/>
              <w:jc w:val="both"/>
            </w:pPr>
            <w:r>
              <w:t>7.89</w:t>
            </w:r>
          </w:p>
        </w:tc>
        <w:tc>
          <w:tcPr>
            <w:tcW w:w="710" w:type="dxa"/>
          </w:tcPr>
          <w:p w14:paraId="4E8A78DE" w14:textId="1A664F32" w:rsidR="00970627" w:rsidRDefault="00970627" w:rsidP="00D2165F">
            <w:pPr>
              <w:spacing w:after="312"/>
              <w:ind w:leftChars="0" w:left="0"/>
              <w:jc w:val="both"/>
            </w:pPr>
            <w:r>
              <w:t>Template - PIII</w:t>
            </w:r>
          </w:p>
        </w:tc>
        <w:tc>
          <w:tcPr>
            <w:tcW w:w="1328" w:type="dxa"/>
          </w:tcPr>
          <w:p w14:paraId="5DDAC8E3" w14:textId="66C7334C" w:rsidR="00970627" w:rsidRDefault="00970627" w:rsidP="00D2165F">
            <w:pPr>
              <w:spacing w:after="312"/>
              <w:ind w:leftChars="0" w:left="0"/>
              <w:jc w:val="both"/>
            </w:pPr>
            <w:proofErr w:type="spellStart"/>
            <w:r>
              <w:t>Fetch_button|Parse_button</w:t>
            </w:r>
            <w:proofErr w:type="spellEnd"/>
          </w:p>
        </w:tc>
        <w:tc>
          <w:tcPr>
            <w:tcW w:w="534" w:type="dxa"/>
          </w:tcPr>
          <w:p w14:paraId="7B986EA7" w14:textId="77777777" w:rsidR="00970627" w:rsidRDefault="00970627" w:rsidP="00D2165F">
            <w:pPr>
              <w:spacing w:after="312"/>
              <w:ind w:leftChars="0" w:left="0"/>
              <w:jc w:val="both"/>
            </w:pPr>
          </w:p>
        </w:tc>
      </w:tr>
    </w:tbl>
    <w:p w14:paraId="18DA930A" w14:textId="77777777" w:rsidR="00AA3233" w:rsidRDefault="00AA3233" w:rsidP="00D2165F">
      <w:pPr>
        <w:spacing w:after="312"/>
        <w:ind w:leftChars="62" w:left="149"/>
        <w:jc w:val="both"/>
      </w:pPr>
    </w:p>
    <w:p w14:paraId="26EEC7E8" w14:textId="3429E263" w:rsidR="00797C2D" w:rsidRDefault="00D2165F" w:rsidP="00D2165F">
      <w:pPr>
        <w:spacing w:after="312"/>
        <w:ind w:leftChars="62" w:left="149"/>
        <w:jc w:val="both"/>
      </w:pPr>
      <w:r>
        <w:tab/>
        <w:t xml:space="preserve">Task data can be </w:t>
      </w:r>
      <w:proofErr w:type="gramStart"/>
      <w:r>
        <w:t>pasted</w:t>
      </w:r>
      <w:proofErr w:type="gramEnd"/>
      <w:r>
        <w:t xml:space="preserve"> in this area, including task info from Parse Interface</w:t>
      </w:r>
    </w:p>
    <w:p w14:paraId="0E4CDCE2" w14:textId="33DDB236" w:rsidR="00D2165F" w:rsidRDefault="00D2165F" w:rsidP="00D2165F">
      <w:pPr>
        <w:spacing w:after="312"/>
        <w:ind w:leftChars="62" w:left="149"/>
        <w:jc w:val="both"/>
      </w:pPr>
      <w:r>
        <w:tab/>
        <w:t>Submit this task form to DMH system (bottom Area – Button)</w:t>
      </w:r>
    </w:p>
    <w:p w14:paraId="5D222DB6" w14:textId="10966B29" w:rsidR="00D2165F" w:rsidRDefault="00D2165F" w:rsidP="00D2165F">
      <w:pPr>
        <w:spacing w:after="312"/>
        <w:ind w:leftChars="62" w:left="149"/>
        <w:jc w:val="both"/>
      </w:pPr>
      <w:r>
        <w:tab/>
        <w:t>Real-time submitting status will display in the table</w:t>
      </w:r>
    </w:p>
    <w:p w14:paraId="26D45566" w14:textId="61BB5E2B" w:rsidR="00D2165F" w:rsidRDefault="00D2165F" w:rsidP="00D2165F">
      <w:pPr>
        <w:spacing w:after="312"/>
        <w:ind w:leftChars="62" w:left="149"/>
        <w:jc w:val="both"/>
      </w:pPr>
      <w:r>
        <w:tab/>
      </w:r>
      <w:r w:rsidR="00073AF2">
        <w:t xml:space="preserve">Double </w:t>
      </w:r>
      <w:r w:rsidR="00766122">
        <w:t>clicking</w:t>
      </w:r>
      <w:r>
        <w:t xml:space="preserve"> a single </w:t>
      </w:r>
      <w:r w:rsidR="00766122">
        <w:rPr>
          <w:rFonts w:eastAsiaTheme="minorEastAsia" w:hint="eastAsia"/>
        </w:rPr>
        <w:t xml:space="preserve">record (or </w:t>
      </w:r>
      <w:proofErr w:type="gramStart"/>
      <w:r w:rsidR="00766122">
        <w:rPr>
          <w:rFonts w:eastAsiaTheme="minorEastAsia" w:hint="eastAsia"/>
        </w:rPr>
        <w:t>click</w:t>
      </w:r>
      <w:proofErr w:type="gramEnd"/>
      <w:r w:rsidR="00766122">
        <w:rPr>
          <w:rFonts w:eastAsiaTheme="minorEastAsia" w:hint="eastAsia"/>
        </w:rPr>
        <w:t xml:space="preserve"> the Parse Button of a record)</w:t>
      </w:r>
      <w:r>
        <w:t xml:space="preserve"> in the table will </w:t>
      </w:r>
      <w:r w:rsidR="00766122" w:rsidRPr="00766122">
        <w:t>automatically redirect</w:t>
      </w:r>
      <w:r w:rsidR="00766122">
        <w:rPr>
          <w:rFonts w:eastAsiaTheme="minorEastAsia" w:hint="eastAsia"/>
        </w:rPr>
        <w:t xml:space="preserve"> to the Parse I</w:t>
      </w:r>
      <w:r w:rsidR="00766122">
        <w:rPr>
          <w:rFonts w:eastAsiaTheme="minorEastAsia"/>
        </w:rPr>
        <w:t>n</w:t>
      </w:r>
      <w:r w:rsidR="00766122">
        <w:rPr>
          <w:rFonts w:eastAsiaTheme="minorEastAsia" w:hint="eastAsia"/>
        </w:rPr>
        <w:t xml:space="preserve">terface and </w:t>
      </w:r>
      <w:r>
        <w:t>show the speci</w:t>
      </w:r>
      <w:r w:rsidR="00641DC0">
        <w:t>fic business data of it</w:t>
      </w:r>
      <w:r w:rsidR="00073AF2">
        <w:t>, for previewing the data submitted to the DMH system</w:t>
      </w:r>
      <w:r w:rsidR="00766122">
        <w:rPr>
          <w:rFonts w:eastAsiaTheme="minorEastAsia" w:hint="eastAsia"/>
        </w:rPr>
        <w:t>, or mak</w:t>
      </w:r>
      <w:r w:rsidR="00137E0A">
        <w:rPr>
          <w:rFonts w:eastAsiaTheme="minorEastAsia" w:hint="eastAsia"/>
        </w:rPr>
        <w:t>ing</w:t>
      </w:r>
      <w:r w:rsidR="00766122">
        <w:rPr>
          <w:rFonts w:eastAsiaTheme="minorEastAsia" w:hint="eastAsia"/>
        </w:rPr>
        <w:t xml:space="preserve"> any changes of the data</w:t>
      </w:r>
      <w:r w:rsidR="00137E0A">
        <w:rPr>
          <w:rFonts w:eastAsiaTheme="minorEastAsia" w:hint="eastAsia"/>
        </w:rPr>
        <w:t xml:space="preserve"> and</w:t>
      </w:r>
      <w:r w:rsidR="00766122">
        <w:rPr>
          <w:rFonts w:eastAsiaTheme="minorEastAsia" w:hint="eastAsia"/>
        </w:rPr>
        <w:t xml:space="preserve"> then submit it to the MR Update Interface again</w:t>
      </w:r>
      <w:r w:rsidR="00073AF2">
        <w:t>.</w:t>
      </w:r>
    </w:p>
    <w:p w14:paraId="1319DE10" w14:textId="6AA76F9F" w:rsidR="00641DC0" w:rsidRDefault="00641DC0" w:rsidP="00D2165F">
      <w:pPr>
        <w:spacing w:after="312"/>
        <w:ind w:leftChars="62" w:left="149"/>
        <w:jc w:val="both"/>
      </w:pPr>
      <w:r>
        <w:tab/>
        <w:t>Automatically save the backup file</w:t>
      </w:r>
      <w:r w:rsidR="00073AF2">
        <w:t>, i.e., source file that contains business data and been parsed, whether it’s from MR Update Interface’s Source File Path or already downloaded in the Spider Interface’s daily process, (Save it as a new file in the backup-file path and rename it to {</w:t>
      </w:r>
      <w:proofErr w:type="spellStart"/>
      <w:r w:rsidR="00073AF2">
        <w:t>Asset_ID</w:t>
      </w:r>
      <w:proofErr w:type="spellEnd"/>
      <w:r w:rsidR="00073AF2">
        <w:t>}_{</w:t>
      </w:r>
      <w:proofErr w:type="spellStart"/>
      <w:r w:rsidR="00073AF2">
        <w:t>Client_ID</w:t>
      </w:r>
      <w:proofErr w:type="spellEnd"/>
      <w:r w:rsidR="00073AF2">
        <w:t>}_{</w:t>
      </w:r>
      <w:proofErr w:type="spellStart"/>
      <w:r w:rsidR="00073AF2">
        <w:t>Ex_Date</w:t>
      </w:r>
      <w:proofErr w:type="spellEnd"/>
      <w:r w:rsidR="00073AF2">
        <w:t xml:space="preserve"> in %</w:t>
      </w:r>
      <w:proofErr w:type="spellStart"/>
      <w:r w:rsidR="00073AF2">
        <w:t>d%b%Y</w:t>
      </w:r>
      <w:proofErr w:type="spellEnd"/>
      <w:r w:rsidR="00073AF2">
        <w:t xml:space="preserve"> format}_{EST or ACT})</w:t>
      </w:r>
      <w:r>
        <w:t xml:space="preserve"> when updating successfully (each task row will generate </w:t>
      </w:r>
      <w:r w:rsidR="00137E0A">
        <w:rPr>
          <w:rFonts w:eastAsiaTheme="minorEastAsia" w:hint="eastAsia"/>
        </w:rPr>
        <w:t>one</w:t>
      </w:r>
      <w:r>
        <w:t xml:space="preserve"> backup file)</w:t>
      </w:r>
    </w:p>
    <w:p w14:paraId="7B292EED" w14:textId="133F4CA8" w:rsidR="007F56C2" w:rsidRDefault="007F56C2" w:rsidP="00D2165F">
      <w:pPr>
        <w:spacing w:after="312"/>
        <w:ind w:leftChars="62" w:left="149"/>
        <w:jc w:val="both"/>
      </w:pPr>
      <w:r>
        <w:tab/>
        <w:t>Any runtime error will raise a fly-out-right-top</w:t>
      </w:r>
      <w:r w:rsidR="00EE38DB">
        <w:rPr>
          <w:rFonts w:eastAsiaTheme="minorEastAsia" w:hint="eastAsia"/>
        </w:rPr>
        <w:t xml:space="preserve"> info bar</w:t>
      </w:r>
      <w:r>
        <w:t xml:space="preserve"> to alert users. If the error occurred before the updating stage, the user could adjust their inputs to fix the error. If the error occurred while updating to DMH, successfully updated entry will show the “success” status, while other remains “failed”.</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lastRenderedPageBreak/>
        <w:tab/>
        <w:t xml:space="preserve">Query </w:t>
      </w:r>
      <w:proofErr w:type="gramStart"/>
      <w:r>
        <w:t>result</w:t>
      </w:r>
      <w:proofErr w:type="gramEnd"/>
      <w:r>
        <w:t xml:space="preserve"> will be displayed (Bottom Area)</w:t>
      </w:r>
    </w:p>
    <w:p w14:paraId="2479813B" w14:textId="753A3409" w:rsidR="00641DC0" w:rsidRDefault="00641DC0" w:rsidP="00D2165F">
      <w:pPr>
        <w:spacing w:after="312"/>
        <w:ind w:leftChars="62" w:left="149"/>
        <w:jc w:val="both"/>
      </w:pPr>
      <w:r>
        <w:tab/>
        <w:t>Data in the query result table can be re-ordered and exported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code line when error raised, can be added in front of a function as a decorator (like </w:t>
      </w:r>
      <w:proofErr w:type="spellStart"/>
      <w:r>
        <w:t>loguru</w:t>
      </w:r>
      <w:proofErr w:type="spellEnd"/>
      <w:r>
        <w:t>)</w:t>
      </w:r>
    </w:p>
    <w:p w14:paraId="79742745" w14:textId="44CB8D30" w:rsidR="0018714C" w:rsidRDefault="00641DC0" w:rsidP="00193D7A">
      <w:pPr>
        <w:spacing w:after="312"/>
        <w:ind w:leftChars="62" w:left="149"/>
        <w:jc w:val="both"/>
      </w:pPr>
      <w:r>
        <w:tab/>
        <w:t>Log files will be saved in a certain path, and renew a file when reached 5mb</w:t>
      </w:r>
    </w:p>
    <w:p w14:paraId="64FE80E6" w14:textId="5266FCAE" w:rsidR="00CE01E5" w:rsidRDefault="00CE01E5" w:rsidP="00193D7A">
      <w:pPr>
        <w:spacing w:after="312"/>
        <w:ind w:leftChars="62" w:left="149"/>
        <w:jc w:val="both"/>
      </w:pPr>
      <w:r>
        <w:tab/>
        <w:t>If any error occurred, a pop-out window or fly-out window will display to show the error information. For those pre-defined errors, readable information will display. For those unexpected errors, the traceback of python interpreter console’s information will display.</w:t>
      </w:r>
    </w:p>
    <w:p w14:paraId="3B2B6155" w14:textId="75FA151F" w:rsidR="00CE01E5" w:rsidRPr="00641DC0" w:rsidRDefault="00CE01E5" w:rsidP="00CE01E5">
      <w:pPr>
        <w:pStyle w:val="2"/>
        <w:spacing w:after="312"/>
        <w:ind w:left="360"/>
      </w:pPr>
      <w:r>
        <w:t>Access Control</w:t>
      </w:r>
      <w:r w:rsidRPr="00641DC0">
        <w:t>:</w:t>
      </w:r>
    </w:p>
    <w:p w14:paraId="161EEB08" w14:textId="53B3BD2A" w:rsidR="00CE01E5" w:rsidRDefault="00EC636C" w:rsidP="00193D7A">
      <w:pPr>
        <w:spacing w:after="312"/>
        <w:ind w:leftChars="62" w:left="149"/>
        <w:jc w:val="both"/>
      </w:pPr>
      <w:r>
        <w:tab/>
        <w:t>All users can access the functions of this tool, including SQL queries. But only the developer can execute ADD/UPDATE/DELETE query.</w:t>
      </w:r>
    </w:p>
    <w:p w14:paraId="1308FDED" w14:textId="1AE36F12" w:rsidR="00EC636C" w:rsidRPr="00641DC0" w:rsidRDefault="00EC636C" w:rsidP="00EC636C">
      <w:pPr>
        <w:pStyle w:val="2"/>
        <w:spacing w:after="312"/>
        <w:ind w:left="360"/>
      </w:pPr>
      <w:r>
        <w:t>Test System</w:t>
      </w:r>
      <w:r w:rsidRPr="00641DC0">
        <w:t>:</w:t>
      </w:r>
    </w:p>
    <w:p w14:paraId="61910210" w14:textId="4ED0A421" w:rsidR="00EC636C" w:rsidRPr="00193D7A" w:rsidRDefault="00EC636C" w:rsidP="00193D7A">
      <w:pPr>
        <w:spacing w:after="312"/>
        <w:ind w:leftChars="62" w:left="149"/>
        <w:jc w:val="both"/>
      </w:pPr>
      <w:r>
        <w:tab/>
        <w:t>Each business function will have a test unit.</w:t>
      </w:r>
    </w:p>
    <w:sectPr w:rsidR="00EC636C" w:rsidRPr="00193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10810"/>
    <w:rsid w:val="000231EF"/>
    <w:rsid w:val="00035ECF"/>
    <w:rsid w:val="00071EE6"/>
    <w:rsid w:val="00073AF2"/>
    <w:rsid w:val="0008241B"/>
    <w:rsid w:val="000D2858"/>
    <w:rsid w:val="00137E0A"/>
    <w:rsid w:val="00150854"/>
    <w:rsid w:val="00164439"/>
    <w:rsid w:val="00176ED8"/>
    <w:rsid w:val="0018714C"/>
    <w:rsid w:val="00193D7A"/>
    <w:rsid w:val="001B3925"/>
    <w:rsid w:val="00200328"/>
    <w:rsid w:val="002D0A66"/>
    <w:rsid w:val="002D0A8F"/>
    <w:rsid w:val="002F26D9"/>
    <w:rsid w:val="0032225B"/>
    <w:rsid w:val="00376756"/>
    <w:rsid w:val="00377682"/>
    <w:rsid w:val="0040442E"/>
    <w:rsid w:val="00412C55"/>
    <w:rsid w:val="00425098"/>
    <w:rsid w:val="0044241C"/>
    <w:rsid w:val="004750DB"/>
    <w:rsid w:val="004B2B9B"/>
    <w:rsid w:val="004C5541"/>
    <w:rsid w:val="00511874"/>
    <w:rsid w:val="00522AEC"/>
    <w:rsid w:val="0055366B"/>
    <w:rsid w:val="005754EC"/>
    <w:rsid w:val="00590DDD"/>
    <w:rsid w:val="005A2AEA"/>
    <w:rsid w:val="005B2B88"/>
    <w:rsid w:val="00616F3B"/>
    <w:rsid w:val="00617444"/>
    <w:rsid w:val="00627970"/>
    <w:rsid w:val="00641DC0"/>
    <w:rsid w:val="006773FE"/>
    <w:rsid w:val="006A2936"/>
    <w:rsid w:val="006A4CC6"/>
    <w:rsid w:val="00746562"/>
    <w:rsid w:val="00766122"/>
    <w:rsid w:val="00797C2D"/>
    <w:rsid w:val="007C5520"/>
    <w:rsid w:val="007D10E5"/>
    <w:rsid w:val="007E74CA"/>
    <w:rsid w:val="007F56C2"/>
    <w:rsid w:val="00814DB8"/>
    <w:rsid w:val="00831777"/>
    <w:rsid w:val="008339C4"/>
    <w:rsid w:val="00864A2F"/>
    <w:rsid w:val="00867F21"/>
    <w:rsid w:val="00872CA0"/>
    <w:rsid w:val="00956756"/>
    <w:rsid w:val="00970627"/>
    <w:rsid w:val="0099292A"/>
    <w:rsid w:val="009A6BEC"/>
    <w:rsid w:val="009B524B"/>
    <w:rsid w:val="00A037A4"/>
    <w:rsid w:val="00A53A75"/>
    <w:rsid w:val="00A5464A"/>
    <w:rsid w:val="00A972D6"/>
    <w:rsid w:val="00AA3233"/>
    <w:rsid w:val="00AB47A5"/>
    <w:rsid w:val="00AD1DE6"/>
    <w:rsid w:val="00AD6F80"/>
    <w:rsid w:val="00AF03CB"/>
    <w:rsid w:val="00B038BA"/>
    <w:rsid w:val="00B57D02"/>
    <w:rsid w:val="00BF292A"/>
    <w:rsid w:val="00C41B76"/>
    <w:rsid w:val="00C806CB"/>
    <w:rsid w:val="00CA1CCF"/>
    <w:rsid w:val="00CA625D"/>
    <w:rsid w:val="00CD179C"/>
    <w:rsid w:val="00CD3927"/>
    <w:rsid w:val="00CE01E5"/>
    <w:rsid w:val="00CF4D7B"/>
    <w:rsid w:val="00CF639B"/>
    <w:rsid w:val="00D04435"/>
    <w:rsid w:val="00D2165F"/>
    <w:rsid w:val="00D54E14"/>
    <w:rsid w:val="00D84F04"/>
    <w:rsid w:val="00E00C4E"/>
    <w:rsid w:val="00E23C50"/>
    <w:rsid w:val="00E3765E"/>
    <w:rsid w:val="00E76E45"/>
    <w:rsid w:val="00EC2929"/>
    <w:rsid w:val="00EC636C"/>
    <w:rsid w:val="00EE38DB"/>
    <w:rsid w:val="00EF5D77"/>
    <w:rsid w:val="00F24870"/>
    <w:rsid w:val="00F41E16"/>
    <w:rsid w:val="00F7168C"/>
    <w:rsid w:val="00F84EB0"/>
    <w:rsid w:val="00FB59C3"/>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12</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68</cp:revision>
  <dcterms:created xsi:type="dcterms:W3CDTF">2025-07-25T06:34:00Z</dcterms:created>
  <dcterms:modified xsi:type="dcterms:W3CDTF">2025-09-07T16:23:00Z</dcterms:modified>
</cp:coreProperties>
</file>