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7A3" w:rsidRDefault="001F77A3">
      <w:bookmarkStart w:id="0" w:name="_GoBack"/>
      <w:bookmarkEnd w:id="0"/>
    </w:p>
    <w:p w:rsidR="001F77A3" w:rsidRDefault="001F77A3">
      <w:pPr>
        <w:pStyle w:val="Header"/>
      </w:pPr>
    </w:p>
    <w:tbl>
      <w:tblPr>
        <w:tblW w:w="8856" w:type="dxa"/>
        <w:jc w:val="center"/>
        <w:tblBorders>
          <w:top w:val="single" w:sz="2" w:space="0" w:color="000000"/>
          <w:bottom w:val="single" w:sz="2" w:space="0" w:color="000000"/>
          <w:insideH w:val="single" w:sz="2" w:space="0" w:color="000000"/>
        </w:tblBorders>
        <w:tblLook w:val="0000" w:firstRow="0" w:lastRow="0" w:firstColumn="0" w:lastColumn="0" w:noHBand="0" w:noVBand="0"/>
      </w:tblPr>
      <w:tblGrid>
        <w:gridCol w:w="1730"/>
        <w:gridCol w:w="3216"/>
        <w:gridCol w:w="3910"/>
      </w:tblGrid>
      <w:tr w:rsidR="001F77A3">
        <w:trPr>
          <w:tblHeader/>
          <w:jc w:val="center"/>
        </w:trPr>
        <w:tc>
          <w:tcPr>
            <w:tcW w:w="1730" w:type="dxa"/>
            <w:tcBorders>
              <w:top w:val="single" w:sz="2" w:space="0" w:color="000000"/>
              <w:bottom w:val="single" w:sz="2" w:space="0" w:color="000000"/>
            </w:tcBorders>
            <w:shd w:val="clear" w:color="auto" w:fill="E6E6E6"/>
            <w:vAlign w:val="center"/>
          </w:tcPr>
          <w:p w:rsidR="001F77A3" w:rsidRDefault="00EF4F7C">
            <w:pPr>
              <w:spacing w:before="40" w:after="40"/>
              <w:jc w:val="center"/>
              <w:rPr>
                <w:b/>
              </w:rPr>
            </w:pPr>
            <w:r>
              <w:rPr>
                <w:b/>
              </w:rPr>
              <w:t>Component</w:t>
            </w:r>
          </w:p>
        </w:tc>
        <w:tc>
          <w:tcPr>
            <w:tcW w:w="3216" w:type="dxa"/>
            <w:tcBorders>
              <w:top w:val="single" w:sz="2" w:space="0" w:color="000000"/>
              <w:left w:val="single" w:sz="2" w:space="0" w:color="000000"/>
              <w:bottom w:val="single" w:sz="2" w:space="0" w:color="000000"/>
            </w:tcBorders>
            <w:shd w:val="clear" w:color="auto" w:fill="E6E6E6"/>
            <w:tcMar>
              <w:left w:w="105" w:type="dxa"/>
            </w:tcMar>
            <w:vAlign w:val="center"/>
          </w:tcPr>
          <w:p w:rsidR="001F77A3" w:rsidRDefault="00EF4F7C">
            <w:pPr>
              <w:pStyle w:val="Header"/>
              <w:spacing w:before="40" w:after="40"/>
              <w:jc w:val="center"/>
              <w:rPr>
                <w:b/>
              </w:rPr>
            </w:pPr>
            <w:r>
              <w:rPr>
                <w:b/>
              </w:rPr>
              <w:t>Description</w:t>
            </w:r>
          </w:p>
        </w:tc>
        <w:tc>
          <w:tcPr>
            <w:tcW w:w="3910" w:type="dxa"/>
            <w:tcBorders>
              <w:top w:val="single" w:sz="2" w:space="0" w:color="000000"/>
              <w:left w:val="single" w:sz="2" w:space="0" w:color="000000"/>
              <w:bottom w:val="single" w:sz="2" w:space="0" w:color="000000"/>
            </w:tcBorders>
            <w:shd w:val="clear" w:color="auto" w:fill="E6E6E6"/>
            <w:tcMar>
              <w:left w:w="105" w:type="dxa"/>
            </w:tcMar>
            <w:vAlign w:val="center"/>
          </w:tcPr>
          <w:p w:rsidR="001F77A3" w:rsidRDefault="00EF4F7C">
            <w:pPr>
              <w:pStyle w:val="Header"/>
              <w:spacing w:before="40" w:after="40"/>
              <w:jc w:val="center"/>
              <w:rPr>
                <w:b/>
              </w:rPr>
            </w:pPr>
            <w:r>
              <w:rPr>
                <w:b/>
              </w:rPr>
              <w:t xml:space="preserve">Rationale </w:t>
            </w:r>
          </w:p>
        </w:tc>
      </w:tr>
      <w:tr w:rsidR="001F77A3">
        <w:trPr>
          <w:trHeight w:val="625"/>
          <w:jc w:val="center"/>
        </w:trPr>
        <w:tc>
          <w:tcPr>
            <w:tcW w:w="1730" w:type="dxa"/>
            <w:tcBorders>
              <w:top w:val="single" w:sz="2" w:space="0" w:color="000000"/>
              <w:bottom w:val="single" w:sz="2" w:space="0" w:color="000000"/>
            </w:tcBorders>
            <w:shd w:val="clear" w:color="auto" w:fill="auto"/>
            <w:vAlign w:val="center"/>
          </w:tcPr>
          <w:p w:rsidR="001F77A3" w:rsidRDefault="00EF4F7C">
            <w:pPr>
              <w:pStyle w:val="Header"/>
              <w:rPr>
                <w:b/>
              </w:rPr>
            </w:pPr>
            <w:r>
              <w:rPr>
                <w:b/>
              </w:rPr>
              <w:t>General Information</w:t>
            </w:r>
          </w:p>
        </w:tc>
        <w:tc>
          <w:tcPr>
            <w:tcW w:w="3216"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Unix  for Computational Biologists - Part II - 1.5 hr</w:t>
            </w:r>
          </w:p>
        </w:tc>
        <w:tc>
          <w:tcPr>
            <w:tcW w:w="3910"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Usage of bash script in Computational Biology</w:t>
            </w:r>
          </w:p>
        </w:tc>
      </w:tr>
      <w:tr w:rsidR="001F77A3">
        <w:trPr>
          <w:jc w:val="center"/>
        </w:trPr>
        <w:tc>
          <w:tcPr>
            <w:tcW w:w="1730" w:type="dxa"/>
            <w:tcBorders>
              <w:top w:val="single" w:sz="2" w:space="0" w:color="000000"/>
              <w:bottom w:val="single" w:sz="2" w:space="0" w:color="000000"/>
            </w:tcBorders>
            <w:shd w:val="clear" w:color="auto" w:fill="auto"/>
            <w:vAlign w:val="center"/>
          </w:tcPr>
          <w:p w:rsidR="001F77A3" w:rsidRDefault="00EF4F7C">
            <w:pPr>
              <w:pStyle w:val="Header"/>
            </w:pPr>
            <w:r>
              <w:rPr>
                <w:b/>
              </w:rPr>
              <w:t xml:space="preserve"> Learning Objectives</w:t>
            </w:r>
          </w:p>
        </w:tc>
        <w:tc>
          <w:tcPr>
            <w:tcW w:w="3216"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 xml:space="preserve">Give the novice participants a flavor of scripting with bash </w:t>
            </w:r>
            <w:r>
              <w:t>and give the experience participants example of some advanced scripting practices.</w:t>
            </w:r>
          </w:p>
        </w:tc>
        <w:tc>
          <w:tcPr>
            <w:tcW w:w="3910"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 xml:space="preserve">The raw output of biological research exists as </w:t>
            </w:r>
            <w:r>
              <w:rPr>
                <w:i/>
                <w:iCs/>
              </w:rPr>
              <w:t>in silico</w:t>
            </w:r>
            <w:r>
              <w:t xml:space="preserve"> data. Bash scripting can be useful in standardizing initial analysis of these files and create formatted output whi</w:t>
            </w:r>
            <w:r>
              <w:t>ch can be easily manipulated by other software packages. I want the participants to appreciate the usage of bash scripting in computational biology.</w:t>
            </w:r>
          </w:p>
        </w:tc>
      </w:tr>
      <w:tr w:rsidR="001F77A3">
        <w:trPr>
          <w:jc w:val="center"/>
        </w:trPr>
        <w:tc>
          <w:tcPr>
            <w:tcW w:w="1730" w:type="dxa"/>
            <w:tcBorders>
              <w:top w:val="single" w:sz="2" w:space="0" w:color="000000"/>
              <w:bottom w:val="single" w:sz="2" w:space="0" w:color="000000"/>
            </w:tcBorders>
            <w:shd w:val="clear" w:color="auto" w:fill="auto"/>
            <w:vAlign w:val="center"/>
          </w:tcPr>
          <w:p w:rsidR="001F77A3" w:rsidRDefault="00EF4F7C">
            <w:pPr>
              <w:pStyle w:val="Header"/>
              <w:rPr>
                <w:b/>
              </w:rPr>
            </w:pPr>
            <w:r>
              <w:rPr>
                <w:b/>
              </w:rPr>
              <w:t>Resources</w:t>
            </w:r>
          </w:p>
        </w:tc>
        <w:tc>
          <w:tcPr>
            <w:tcW w:w="3216"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Handouts and lecture</w:t>
            </w:r>
          </w:p>
        </w:tc>
        <w:tc>
          <w:tcPr>
            <w:tcW w:w="3910"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Class will focus on hands on exercises along with the lectures.</w:t>
            </w:r>
          </w:p>
        </w:tc>
      </w:tr>
      <w:tr w:rsidR="001F77A3">
        <w:trPr>
          <w:trHeight w:val="1822"/>
          <w:jc w:val="center"/>
        </w:trPr>
        <w:tc>
          <w:tcPr>
            <w:tcW w:w="1730" w:type="dxa"/>
            <w:tcBorders>
              <w:top w:val="single" w:sz="2" w:space="0" w:color="000000"/>
              <w:bottom w:val="single" w:sz="2" w:space="0" w:color="000000"/>
            </w:tcBorders>
            <w:shd w:val="clear" w:color="auto" w:fill="auto"/>
            <w:vAlign w:val="center"/>
          </w:tcPr>
          <w:p w:rsidR="001F77A3" w:rsidRDefault="00EF4F7C">
            <w:pPr>
              <w:pStyle w:val="Header"/>
              <w:rPr>
                <w:b/>
              </w:rPr>
            </w:pPr>
            <w:r>
              <w:rPr>
                <w:b/>
              </w:rPr>
              <w:t>Procedures, Content, Activities</w:t>
            </w:r>
          </w:p>
        </w:tc>
        <w:tc>
          <w:tcPr>
            <w:tcW w:w="3216"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pPr>
              <w:numPr>
                <w:ilvl w:val="0"/>
                <w:numId w:val="1"/>
              </w:numPr>
            </w:pPr>
            <w:r>
              <w:t>Introduction to bash scripting</w:t>
            </w:r>
          </w:p>
          <w:p w:rsidR="001F77A3" w:rsidRDefault="00EF4F7C">
            <w:pPr>
              <w:numPr>
                <w:ilvl w:val="0"/>
                <w:numId w:val="1"/>
              </w:numPr>
            </w:pPr>
            <w:r>
              <w:t>Logic and loops in bash scritping</w:t>
            </w:r>
          </w:p>
          <w:p w:rsidR="001F77A3" w:rsidRDefault="00EF4F7C">
            <w:pPr>
              <w:numPr>
                <w:ilvl w:val="0"/>
                <w:numId w:val="1"/>
              </w:numPr>
            </w:pPr>
            <w:r>
              <w:t>Math in bash scripting</w:t>
            </w:r>
          </w:p>
          <w:p w:rsidR="001F77A3" w:rsidRDefault="00EF4F7C">
            <w:pPr>
              <w:numPr>
                <w:ilvl w:val="0"/>
                <w:numId w:val="1"/>
              </w:numPr>
              <w:rPr>
                <w:i/>
                <w:iCs/>
              </w:rPr>
            </w:pPr>
            <w:r>
              <w:t>File manipulation with</w:t>
            </w:r>
            <w:r>
              <w:rPr>
                <w:i/>
                <w:iCs/>
              </w:rPr>
              <w:t xml:space="preserve"> grep, sed awk </w:t>
            </w:r>
            <w:r>
              <w:t>using bash scripting</w:t>
            </w:r>
          </w:p>
          <w:p w:rsidR="001F77A3" w:rsidRDefault="00EF4F7C">
            <w:pPr>
              <w:numPr>
                <w:ilvl w:val="0"/>
                <w:numId w:val="1"/>
              </w:numPr>
              <w:rPr>
                <w:i/>
                <w:iCs/>
              </w:rPr>
            </w:pPr>
            <w:r>
              <w:t>Creating pipeline using bash scripting.</w:t>
            </w:r>
          </w:p>
        </w:tc>
        <w:tc>
          <w:tcPr>
            <w:tcW w:w="3910"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The partici</w:t>
            </w:r>
            <w:r>
              <w:t>pants will be given a cheat sheet for common Unix commands. Novice Unix users will be encouraged to use the commands and create bash scripts to manipulate some of the data files they are given.  More experienced participants will be encouraged to create mo</w:t>
            </w:r>
            <w:r>
              <w:t>re advanced pipelines.</w:t>
            </w:r>
          </w:p>
        </w:tc>
      </w:tr>
    </w:tbl>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 w:rsidR="001F77A3" w:rsidRDefault="001F77A3">
      <w:pPr>
        <w:pStyle w:val="Header"/>
      </w:pPr>
    </w:p>
    <w:tbl>
      <w:tblPr>
        <w:tblW w:w="8856" w:type="dxa"/>
        <w:jc w:val="center"/>
        <w:tblBorders>
          <w:top w:val="single" w:sz="2" w:space="0" w:color="000000"/>
          <w:bottom w:val="single" w:sz="2" w:space="0" w:color="000000"/>
          <w:insideH w:val="single" w:sz="2" w:space="0" w:color="000000"/>
        </w:tblBorders>
        <w:tblLook w:val="0000" w:firstRow="0" w:lastRow="0" w:firstColumn="0" w:lastColumn="0" w:noHBand="0" w:noVBand="0"/>
      </w:tblPr>
      <w:tblGrid>
        <w:gridCol w:w="1730"/>
        <w:gridCol w:w="3216"/>
        <w:gridCol w:w="3910"/>
      </w:tblGrid>
      <w:tr w:rsidR="001F77A3">
        <w:trPr>
          <w:tblHeader/>
          <w:jc w:val="center"/>
        </w:trPr>
        <w:tc>
          <w:tcPr>
            <w:tcW w:w="1730" w:type="dxa"/>
            <w:tcBorders>
              <w:top w:val="single" w:sz="2" w:space="0" w:color="000000"/>
              <w:bottom w:val="single" w:sz="2" w:space="0" w:color="000000"/>
            </w:tcBorders>
            <w:shd w:val="clear" w:color="auto" w:fill="E6E6E6"/>
            <w:vAlign w:val="center"/>
          </w:tcPr>
          <w:p w:rsidR="001F77A3" w:rsidRDefault="00EF4F7C">
            <w:pPr>
              <w:spacing w:before="40" w:after="40"/>
              <w:jc w:val="center"/>
              <w:rPr>
                <w:b/>
              </w:rPr>
            </w:pPr>
            <w:r>
              <w:rPr>
                <w:b/>
              </w:rPr>
              <w:t>Component</w:t>
            </w:r>
          </w:p>
        </w:tc>
        <w:tc>
          <w:tcPr>
            <w:tcW w:w="3216" w:type="dxa"/>
            <w:tcBorders>
              <w:top w:val="single" w:sz="2" w:space="0" w:color="000000"/>
              <w:left w:val="single" w:sz="2" w:space="0" w:color="000000"/>
              <w:bottom w:val="single" w:sz="2" w:space="0" w:color="000000"/>
            </w:tcBorders>
            <w:shd w:val="clear" w:color="auto" w:fill="E6E6E6"/>
            <w:tcMar>
              <w:left w:w="105" w:type="dxa"/>
            </w:tcMar>
            <w:vAlign w:val="center"/>
          </w:tcPr>
          <w:p w:rsidR="001F77A3" w:rsidRDefault="00EF4F7C">
            <w:pPr>
              <w:pStyle w:val="Header"/>
              <w:spacing w:before="40" w:after="40"/>
              <w:jc w:val="center"/>
              <w:rPr>
                <w:b/>
              </w:rPr>
            </w:pPr>
            <w:r>
              <w:rPr>
                <w:b/>
              </w:rPr>
              <w:t>Description</w:t>
            </w:r>
          </w:p>
        </w:tc>
        <w:tc>
          <w:tcPr>
            <w:tcW w:w="3910" w:type="dxa"/>
            <w:tcBorders>
              <w:top w:val="single" w:sz="2" w:space="0" w:color="000000"/>
              <w:left w:val="single" w:sz="2" w:space="0" w:color="000000"/>
              <w:bottom w:val="single" w:sz="2" w:space="0" w:color="000000"/>
            </w:tcBorders>
            <w:shd w:val="clear" w:color="auto" w:fill="E6E6E6"/>
            <w:tcMar>
              <w:left w:w="105" w:type="dxa"/>
            </w:tcMar>
            <w:vAlign w:val="center"/>
          </w:tcPr>
          <w:p w:rsidR="001F77A3" w:rsidRDefault="00EF4F7C">
            <w:pPr>
              <w:pStyle w:val="Header"/>
              <w:spacing w:before="40" w:after="40"/>
              <w:jc w:val="center"/>
              <w:rPr>
                <w:b/>
              </w:rPr>
            </w:pPr>
            <w:r>
              <w:rPr>
                <w:b/>
              </w:rPr>
              <w:t xml:space="preserve">Rationale </w:t>
            </w:r>
          </w:p>
        </w:tc>
      </w:tr>
      <w:tr w:rsidR="001F77A3">
        <w:trPr>
          <w:trHeight w:val="625"/>
          <w:jc w:val="center"/>
        </w:trPr>
        <w:tc>
          <w:tcPr>
            <w:tcW w:w="1730" w:type="dxa"/>
            <w:tcBorders>
              <w:top w:val="single" w:sz="2" w:space="0" w:color="000000"/>
              <w:bottom w:val="single" w:sz="2" w:space="0" w:color="000000"/>
            </w:tcBorders>
            <w:shd w:val="clear" w:color="auto" w:fill="auto"/>
            <w:vAlign w:val="center"/>
          </w:tcPr>
          <w:p w:rsidR="001F77A3" w:rsidRDefault="00EF4F7C">
            <w:pPr>
              <w:pStyle w:val="Header"/>
              <w:rPr>
                <w:b/>
              </w:rPr>
            </w:pPr>
            <w:r>
              <w:rPr>
                <w:b/>
              </w:rPr>
              <w:t>General Information</w:t>
            </w:r>
          </w:p>
        </w:tc>
        <w:tc>
          <w:tcPr>
            <w:tcW w:w="3216"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Sequence Analysis and Function Prediction – 1.5 hr</w:t>
            </w:r>
          </w:p>
        </w:tc>
        <w:tc>
          <w:tcPr>
            <w:tcW w:w="3910"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Predicting protein function from sequence similarities.</w:t>
            </w:r>
          </w:p>
        </w:tc>
      </w:tr>
      <w:tr w:rsidR="001F77A3">
        <w:trPr>
          <w:jc w:val="center"/>
        </w:trPr>
        <w:tc>
          <w:tcPr>
            <w:tcW w:w="1730" w:type="dxa"/>
            <w:tcBorders>
              <w:top w:val="single" w:sz="2" w:space="0" w:color="000000"/>
              <w:bottom w:val="single" w:sz="2" w:space="0" w:color="000000"/>
            </w:tcBorders>
            <w:shd w:val="clear" w:color="auto" w:fill="auto"/>
            <w:vAlign w:val="center"/>
          </w:tcPr>
          <w:p w:rsidR="001F77A3" w:rsidRDefault="00EF4F7C">
            <w:pPr>
              <w:pStyle w:val="Header"/>
            </w:pPr>
            <w:r>
              <w:rPr>
                <w:b/>
              </w:rPr>
              <w:t xml:space="preserve"> Learning Objectives</w:t>
            </w:r>
          </w:p>
        </w:tc>
        <w:tc>
          <w:tcPr>
            <w:tcW w:w="3216"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 xml:space="preserve">Introduce different </w:t>
            </w:r>
            <w:r>
              <w:t>aspects of computational function annotation. Discuss in more in details of functional annotation from sequence data. Introduce difference computational functional annotation servers and software tools.</w:t>
            </w:r>
          </w:p>
        </w:tc>
        <w:tc>
          <w:tcPr>
            <w:tcW w:w="3910"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Computational function annotation, or computational p</w:t>
            </w:r>
            <w:r>
              <w:t>roteomics, plays a crucial role not only in the annotation process of newly sequenced genomes, but also in the interpretation of high-throughput experimental data such as gene expression patterns by microarray or protein–protein interaction data. I want th</w:t>
            </w:r>
            <w:r>
              <w:t>e participants to know about different aspects of computational function annotation particularly annotation of function from sequence data.</w:t>
            </w:r>
          </w:p>
        </w:tc>
      </w:tr>
      <w:tr w:rsidR="001F77A3">
        <w:trPr>
          <w:jc w:val="center"/>
        </w:trPr>
        <w:tc>
          <w:tcPr>
            <w:tcW w:w="1730" w:type="dxa"/>
            <w:tcBorders>
              <w:top w:val="single" w:sz="2" w:space="0" w:color="000000"/>
              <w:bottom w:val="single" w:sz="2" w:space="0" w:color="000000"/>
            </w:tcBorders>
            <w:shd w:val="clear" w:color="auto" w:fill="auto"/>
            <w:vAlign w:val="center"/>
          </w:tcPr>
          <w:p w:rsidR="001F77A3" w:rsidRDefault="00EF4F7C">
            <w:pPr>
              <w:pStyle w:val="Header"/>
              <w:rPr>
                <w:b/>
              </w:rPr>
            </w:pPr>
            <w:r>
              <w:rPr>
                <w:b/>
              </w:rPr>
              <w:t>Resources</w:t>
            </w:r>
          </w:p>
        </w:tc>
        <w:tc>
          <w:tcPr>
            <w:tcW w:w="3216"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Handouts and lecture</w:t>
            </w:r>
          </w:p>
        </w:tc>
        <w:tc>
          <w:tcPr>
            <w:tcW w:w="3910"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Class will focus on hands on exercises along with the lectures.</w:t>
            </w:r>
          </w:p>
        </w:tc>
      </w:tr>
      <w:tr w:rsidR="001F77A3">
        <w:trPr>
          <w:trHeight w:val="1822"/>
          <w:jc w:val="center"/>
        </w:trPr>
        <w:tc>
          <w:tcPr>
            <w:tcW w:w="1730" w:type="dxa"/>
            <w:tcBorders>
              <w:top w:val="single" w:sz="2" w:space="0" w:color="000000"/>
              <w:bottom w:val="single" w:sz="2" w:space="0" w:color="000000"/>
            </w:tcBorders>
            <w:shd w:val="clear" w:color="auto" w:fill="auto"/>
            <w:vAlign w:val="center"/>
          </w:tcPr>
          <w:p w:rsidR="001F77A3" w:rsidRDefault="00EF4F7C">
            <w:pPr>
              <w:pStyle w:val="Header"/>
              <w:rPr>
                <w:b/>
              </w:rPr>
            </w:pPr>
            <w:r>
              <w:rPr>
                <w:b/>
              </w:rPr>
              <w:t xml:space="preserve">Procedures, </w:t>
            </w:r>
            <w:r>
              <w:rPr>
                <w:b/>
              </w:rPr>
              <w:t>Content, Activities</w:t>
            </w:r>
          </w:p>
        </w:tc>
        <w:tc>
          <w:tcPr>
            <w:tcW w:w="3216"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pPr>
              <w:numPr>
                <w:ilvl w:val="0"/>
                <w:numId w:val="1"/>
              </w:numPr>
            </w:pPr>
            <w:r>
              <w:t>Introduction to computational functional annotation.</w:t>
            </w:r>
          </w:p>
          <w:p w:rsidR="001F77A3" w:rsidRDefault="00EF4F7C">
            <w:pPr>
              <w:numPr>
                <w:ilvl w:val="0"/>
                <w:numId w:val="1"/>
              </w:numPr>
            </w:pPr>
            <w:r>
              <w:t>Introduction to Sequence similarities.</w:t>
            </w:r>
          </w:p>
          <w:p w:rsidR="001F77A3" w:rsidRDefault="00EF4F7C">
            <w:pPr>
              <w:numPr>
                <w:ilvl w:val="0"/>
                <w:numId w:val="1"/>
              </w:numPr>
            </w:pPr>
            <w:r>
              <w:t>Functional annotation from seqeunce, genomic, proteomic and structural data.</w:t>
            </w:r>
          </w:p>
          <w:p w:rsidR="001F77A3" w:rsidRDefault="00EF4F7C">
            <w:pPr>
              <w:numPr>
                <w:ilvl w:val="0"/>
                <w:numId w:val="1"/>
              </w:numPr>
              <w:rPr>
                <w:i/>
                <w:iCs/>
              </w:rPr>
            </w:pPr>
            <w:r>
              <w:t xml:space="preserve">Discussion about PFP -  protein function prediction webserver from </w:t>
            </w:r>
            <w:r>
              <w:t>GO term.</w:t>
            </w:r>
          </w:p>
        </w:tc>
        <w:tc>
          <w:tcPr>
            <w:tcW w:w="3910" w:type="dxa"/>
            <w:tcBorders>
              <w:top w:val="single" w:sz="2" w:space="0" w:color="000000"/>
              <w:left w:val="single" w:sz="2" w:space="0" w:color="000000"/>
              <w:bottom w:val="single" w:sz="2" w:space="0" w:color="000000"/>
            </w:tcBorders>
            <w:shd w:val="clear" w:color="auto" w:fill="auto"/>
            <w:tcMar>
              <w:left w:w="105" w:type="dxa"/>
            </w:tcMar>
            <w:vAlign w:val="center"/>
          </w:tcPr>
          <w:p w:rsidR="001F77A3" w:rsidRDefault="00EF4F7C">
            <w:r>
              <w:t>The participants will know the logic behind the computational function prediction and will be using the PFP and ESG server to predict fucntion from sequences.</w:t>
            </w:r>
          </w:p>
        </w:tc>
      </w:tr>
    </w:tbl>
    <w:p w:rsidR="001F77A3" w:rsidRDefault="001F77A3"/>
    <w:sectPr w:rsidR="001F77A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3295E"/>
    <w:multiLevelType w:val="multilevel"/>
    <w:tmpl w:val="89920E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1730B18"/>
    <w:multiLevelType w:val="multilevel"/>
    <w:tmpl w:val="B0E6D4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A3"/>
    <w:rsid w:val="001F77A3"/>
    <w:rsid w:val="00EF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351D034-14C4-744B-9488-C9CE5E0B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Quinones, Mariam (NIH/NIAID) [E]</dc:creator>
  <dc:description/>
  <cp:lastModifiedBy>Quinones, Mariam (NIH/NIAID) [E]</cp:lastModifiedBy>
  <cp:revision>2</cp:revision>
  <dcterms:created xsi:type="dcterms:W3CDTF">2018-07-27T03:03:00Z</dcterms:created>
  <dcterms:modified xsi:type="dcterms:W3CDTF">2018-07-27T03:03:00Z</dcterms:modified>
  <dc:language>en-US</dc:language>
</cp:coreProperties>
</file>