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353491">
      <w:pPr>
        <w:pStyle w:val="15"/>
        <w:rPr>
          <w:color w:val="auto"/>
        </w:rPr>
      </w:pPr>
      <w:r>
        <w:rPr>
          <w:color w:val="auto"/>
        </w:rPr>
        <w:t>Keeping Website Stock in Step with Five Stores: An Integrated Data Warehouse Prototype for PetHaven</w:t>
      </w:r>
    </w:p>
    <w:p w14:paraId="7E2E88EC">
      <w:pPr>
        <w:pStyle w:val="19"/>
        <w:rPr>
          <w:color w:val="auto"/>
        </w:rPr>
      </w:pPr>
      <w:r>
        <w:rPr>
          <w:color w:val="auto"/>
        </w:rPr>
        <w:t>32113 Advanced Database · Assignment 2 · Spring 2026</w:t>
      </w:r>
    </w:p>
    <w:p w14:paraId="5A47B574">
      <w:pPr>
        <w:pStyle w:val="32"/>
        <w:rPr>
          <w:color w:val="auto"/>
        </w:rPr>
      </w:pPr>
      <w:r>
        <w:rPr>
          <w:color w:val="auto"/>
        </w:rPr>
        <w:t>[TODO: Group ID · student names and UTS IDs · demo video link · GitHub link]</w:t>
      </w:r>
    </w:p>
    <w:sdt>
      <w:sdtPr>
        <w:rPr>
          <w:rFonts w:ascii="Calibri" w:hAnsi="Calibri" w:cs="Calibri" w:eastAsiaTheme="minorEastAsia"/>
          <w:color w:val="auto"/>
          <w:szCs w:val="24"/>
        </w:rPr>
        <w:id w:val="408049805"/>
        <w:docPartObj>
          <w:docPartGallery w:val="Table of Contents"/>
          <w:docPartUnique/>
        </w:docPartObj>
      </w:sdtPr>
      <w:sdtEndPr>
        <w:rPr>
          <w:rFonts w:ascii="Calibri" w:hAnsi="Calibri" w:cs="Calibri" w:eastAsiaTheme="minorEastAsia"/>
          <w:b w:val="0"/>
          <w:color w:val="auto"/>
          <w:sz w:val="22"/>
          <w:szCs w:val="24"/>
        </w:rPr>
      </w:sdtEndPr>
      <w:sdtContent>
        <w:p w14:paraId="0C08F664">
          <w:pPr>
            <w:pStyle w:val="56"/>
            <w:rPr>
              <w:rFonts w:ascii="Calibri" w:hAnsi="Calibri" w:cs="Calibri"/>
              <w:color w:val="auto"/>
            </w:rPr>
          </w:pPr>
          <w:r>
            <w:rPr>
              <w:rFonts w:ascii="Calibri" w:hAnsi="Calibri" w:cs="Calibri"/>
              <w:color w:val="auto"/>
            </w:rPr>
            <w:t>Contents</w:t>
          </w:r>
        </w:p>
        <w:p w14:paraId="04B4EE9E">
          <w:pPr>
            <w:pStyle w:val="18"/>
            <w:tabs>
              <w:tab w:val="right" w:leader="dot" w:pos="9017"/>
            </w:tabs>
            <w:rPr>
              <w:rFonts w:asciiTheme="minorHAnsi" w:hAnsiTheme="minorHAnsi" w:cstheme="minorBidi"/>
              <w:color w:val="auto"/>
              <w:kern w:val="2"/>
              <w14:ligatures w14:val="standardContextual"/>
            </w:rPr>
          </w:pPr>
          <w:r>
            <w:rPr>
              <w:color w:val="auto"/>
            </w:rPr>
            <w:fldChar w:fldCharType="begin"/>
          </w:r>
          <w:r>
            <w:rPr>
              <w:color w:val="auto"/>
            </w:rPr>
            <w:instrText xml:space="preserve">TOC \o "1-2" \h \z \u</w:instrText>
          </w:r>
          <w:r>
            <w:rPr>
              <w:color w:val="auto"/>
            </w:rPr>
            <w:fldChar w:fldCharType="separate"/>
          </w:r>
          <w:r>
            <w:rPr>
              <w:color w:val="auto"/>
            </w:rPr>
            <w:fldChar w:fldCharType="begin"/>
          </w:r>
          <w:r>
            <w:rPr>
              <w:color w:val="auto"/>
            </w:rPr>
            <w:instrText xml:space="preserve"> HYPERLINK \l "_Toc242203698" </w:instrText>
          </w:r>
          <w:r>
            <w:rPr>
              <w:color w:val="auto"/>
            </w:rPr>
            <w:fldChar w:fldCharType="separate"/>
          </w:r>
          <w:r>
            <w:rPr>
              <w:rStyle w:val="25"/>
              <w:color w:val="auto"/>
            </w:rPr>
            <w:t>Executive Summary</w:t>
          </w:r>
          <w:r>
            <w:rPr>
              <w:color w:val="auto"/>
            </w:rPr>
            <w:tab/>
          </w:r>
          <w:r>
            <w:rPr>
              <w:color w:val="auto"/>
            </w:rPr>
            <w:fldChar w:fldCharType="begin"/>
          </w:r>
          <w:r>
            <w:rPr>
              <w:color w:val="auto"/>
            </w:rPr>
            <w:instrText xml:space="preserve"> PAGEREF _Toc242203698 \h </w:instrText>
          </w:r>
          <w:r>
            <w:rPr>
              <w:color w:val="auto"/>
            </w:rPr>
            <w:fldChar w:fldCharType="separate"/>
          </w:r>
          <w:r>
            <w:rPr>
              <w:color w:val="auto"/>
            </w:rPr>
            <w:t>3</w:t>
          </w:r>
          <w:r>
            <w:rPr>
              <w:color w:val="auto"/>
            </w:rPr>
            <w:fldChar w:fldCharType="end"/>
          </w:r>
          <w:r>
            <w:rPr>
              <w:color w:val="auto"/>
            </w:rPr>
            <w:fldChar w:fldCharType="end"/>
          </w:r>
        </w:p>
        <w:p w14:paraId="2C32D35B">
          <w:pPr>
            <w:pStyle w:val="18"/>
            <w:tabs>
              <w:tab w:val="right" w:leader="dot" w:pos="9017"/>
            </w:tabs>
            <w:rPr>
              <w:rFonts w:asciiTheme="minorHAnsi" w:hAnsiTheme="minorHAnsi" w:cstheme="minorBidi"/>
              <w:color w:val="auto"/>
              <w:kern w:val="2"/>
              <w14:ligatures w14:val="standardContextual"/>
            </w:rPr>
          </w:pPr>
          <w:r>
            <w:rPr>
              <w:color w:val="auto"/>
            </w:rPr>
            <w:fldChar w:fldCharType="begin"/>
          </w:r>
          <w:r>
            <w:rPr>
              <w:color w:val="auto"/>
            </w:rPr>
            <w:instrText xml:space="preserve"> HYPERLINK \l "_Toc242203699" </w:instrText>
          </w:r>
          <w:r>
            <w:rPr>
              <w:color w:val="auto"/>
            </w:rPr>
            <w:fldChar w:fldCharType="separate"/>
          </w:r>
          <w:r>
            <w:rPr>
              <w:rStyle w:val="25"/>
              <w:color w:val="auto"/>
            </w:rPr>
            <w:t>1. Introduction</w:t>
          </w:r>
          <w:r>
            <w:rPr>
              <w:color w:val="auto"/>
            </w:rPr>
            <w:tab/>
          </w:r>
          <w:r>
            <w:rPr>
              <w:color w:val="auto"/>
            </w:rPr>
            <w:fldChar w:fldCharType="begin"/>
          </w:r>
          <w:r>
            <w:rPr>
              <w:color w:val="auto"/>
            </w:rPr>
            <w:instrText xml:space="preserve"> PAGEREF _Toc242203699 \h </w:instrText>
          </w:r>
          <w:r>
            <w:rPr>
              <w:color w:val="auto"/>
            </w:rPr>
            <w:fldChar w:fldCharType="separate"/>
          </w:r>
          <w:r>
            <w:rPr>
              <w:color w:val="auto"/>
            </w:rPr>
            <w:t>4</w:t>
          </w:r>
          <w:r>
            <w:rPr>
              <w:color w:val="auto"/>
            </w:rPr>
            <w:fldChar w:fldCharType="end"/>
          </w:r>
          <w:r>
            <w:rPr>
              <w:color w:val="auto"/>
            </w:rPr>
            <w:fldChar w:fldCharType="end"/>
          </w:r>
        </w:p>
        <w:p w14:paraId="34E30720">
          <w:pPr>
            <w:pStyle w:val="18"/>
            <w:tabs>
              <w:tab w:val="right" w:leader="dot" w:pos="9017"/>
            </w:tabs>
            <w:rPr>
              <w:rFonts w:asciiTheme="minorHAnsi" w:hAnsiTheme="minorHAnsi" w:cstheme="minorBidi"/>
              <w:color w:val="auto"/>
              <w:kern w:val="2"/>
              <w14:ligatures w14:val="standardContextual"/>
            </w:rPr>
          </w:pPr>
          <w:r>
            <w:rPr>
              <w:color w:val="auto"/>
            </w:rPr>
            <w:fldChar w:fldCharType="begin"/>
          </w:r>
          <w:r>
            <w:rPr>
              <w:color w:val="auto"/>
            </w:rPr>
            <w:instrText xml:space="preserve"> HYPERLINK \l "_Toc242203700" </w:instrText>
          </w:r>
          <w:r>
            <w:rPr>
              <w:color w:val="auto"/>
            </w:rPr>
            <w:fldChar w:fldCharType="separate"/>
          </w:r>
          <w:r>
            <w:rPr>
              <w:rStyle w:val="25"/>
              <w:color w:val="auto"/>
            </w:rPr>
            <w:t>2. Solution Design</w:t>
          </w:r>
          <w:r>
            <w:rPr>
              <w:color w:val="auto"/>
            </w:rPr>
            <w:tab/>
          </w:r>
          <w:r>
            <w:rPr>
              <w:color w:val="auto"/>
            </w:rPr>
            <w:fldChar w:fldCharType="begin"/>
          </w:r>
          <w:r>
            <w:rPr>
              <w:color w:val="auto"/>
            </w:rPr>
            <w:instrText xml:space="preserve"> PAGEREF _Toc242203700 \h </w:instrText>
          </w:r>
          <w:r>
            <w:rPr>
              <w:color w:val="auto"/>
            </w:rPr>
            <w:fldChar w:fldCharType="separate"/>
          </w:r>
          <w:r>
            <w:rPr>
              <w:color w:val="auto"/>
            </w:rPr>
            <w:t>5</w:t>
          </w:r>
          <w:r>
            <w:rPr>
              <w:color w:val="auto"/>
            </w:rPr>
            <w:fldChar w:fldCharType="end"/>
          </w:r>
          <w:r>
            <w:rPr>
              <w:color w:val="auto"/>
            </w:rPr>
            <w:fldChar w:fldCharType="end"/>
          </w:r>
        </w:p>
        <w:p w14:paraId="049531E4">
          <w:pPr>
            <w:pStyle w:val="21"/>
            <w:tabs>
              <w:tab w:val="right" w:leader="dot" w:pos="9017"/>
            </w:tabs>
            <w:ind w:left="440"/>
            <w:rPr>
              <w:rFonts w:asciiTheme="minorHAnsi" w:hAnsiTheme="minorHAnsi" w:cstheme="minorBidi"/>
              <w:color w:val="auto"/>
              <w:kern w:val="2"/>
              <w14:ligatures w14:val="standardContextual"/>
            </w:rPr>
          </w:pPr>
          <w:r>
            <w:rPr>
              <w:color w:val="auto"/>
            </w:rPr>
            <w:fldChar w:fldCharType="begin"/>
          </w:r>
          <w:r>
            <w:rPr>
              <w:color w:val="auto"/>
            </w:rPr>
            <w:instrText xml:space="preserve"> HYPERLINK \l "_Toc242203701" </w:instrText>
          </w:r>
          <w:r>
            <w:rPr>
              <w:color w:val="auto"/>
            </w:rPr>
            <w:fldChar w:fldCharType="separate"/>
          </w:r>
          <w:r>
            <w:rPr>
              <w:rStyle w:val="25"/>
              <w:color w:val="auto"/>
            </w:rPr>
            <w:t>2.1 Solution Architecture</w:t>
          </w:r>
          <w:r>
            <w:rPr>
              <w:color w:val="auto"/>
            </w:rPr>
            <w:tab/>
          </w:r>
          <w:r>
            <w:rPr>
              <w:color w:val="auto"/>
            </w:rPr>
            <w:fldChar w:fldCharType="begin"/>
          </w:r>
          <w:r>
            <w:rPr>
              <w:color w:val="auto"/>
            </w:rPr>
            <w:instrText xml:space="preserve"> PAGEREF _Toc242203701 \h </w:instrText>
          </w:r>
          <w:r>
            <w:rPr>
              <w:color w:val="auto"/>
            </w:rPr>
            <w:fldChar w:fldCharType="separate"/>
          </w:r>
          <w:r>
            <w:rPr>
              <w:color w:val="auto"/>
            </w:rPr>
            <w:t>5</w:t>
          </w:r>
          <w:r>
            <w:rPr>
              <w:color w:val="auto"/>
            </w:rPr>
            <w:fldChar w:fldCharType="end"/>
          </w:r>
          <w:r>
            <w:rPr>
              <w:color w:val="auto"/>
            </w:rPr>
            <w:fldChar w:fldCharType="end"/>
          </w:r>
        </w:p>
        <w:p w14:paraId="6AA7B471">
          <w:pPr>
            <w:pStyle w:val="21"/>
            <w:tabs>
              <w:tab w:val="right" w:leader="dot" w:pos="9017"/>
            </w:tabs>
            <w:ind w:left="440"/>
            <w:rPr>
              <w:rFonts w:asciiTheme="minorHAnsi" w:hAnsiTheme="minorHAnsi" w:cstheme="minorBidi"/>
              <w:color w:val="auto"/>
              <w:kern w:val="2"/>
              <w14:ligatures w14:val="standardContextual"/>
            </w:rPr>
          </w:pPr>
          <w:r>
            <w:rPr>
              <w:color w:val="auto"/>
            </w:rPr>
            <w:fldChar w:fldCharType="begin"/>
          </w:r>
          <w:r>
            <w:rPr>
              <w:color w:val="auto"/>
            </w:rPr>
            <w:instrText xml:space="preserve"> HYPERLINK \l "_Toc242203702" </w:instrText>
          </w:r>
          <w:r>
            <w:rPr>
              <w:color w:val="auto"/>
            </w:rPr>
            <w:fldChar w:fldCharType="separate"/>
          </w:r>
          <w:r>
            <w:rPr>
              <w:rStyle w:val="25"/>
              <w:color w:val="auto"/>
            </w:rPr>
            <w:t>2.2 Conceptual Model of Data Entities</w:t>
          </w:r>
          <w:r>
            <w:rPr>
              <w:color w:val="auto"/>
            </w:rPr>
            <w:tab/>
          </w:r>
          <w:r>
            <w:rPr>
              <w:color w:val="auto"/>
            </w:rPr>
            <w:fldChar w:fldCharType="begin"/>
          </w:r>
          <w:r>
            <w:rPr>
              <w:color w:val="auto"/>
            </w:rPr>
            <w:instrText xml:space="preserve"> PAGEREF _Toc242203702 \h </w:instrText>
          </w:r>
          <w:r>
            <w:rPr>
              <w:color w:val="auto"/>
            </w:rPr>
            <w:fldChar w:fldCharType="separate"/>
          </w:r>
          <w:r>
            <w:rPr>
              <w:color w:val="auto"/>
            </w:rPr>
            <w:t>6</w:t>
          </w:r>
          <w:r>
            <w:rPr>
              <w:color w:val="auto"/>
            </w:rPr>
            <w:fldChar w:fldCharType="end"/>
          </w:r>
          <w:r>
            <w:rPr>
              <w:color w:val="auto"/>
            </w:rPr>
            <w:fldChar w:fldCharType="end"/>
          </w:r>
        </w:p>
        <w:p w14:paraId="3EC2513B">
          <w:pPr>
            <w:pStyle w:val="21"/>
            <w:tabs>
              <w:tab w:val="right" w:leader="dot" w:pos="9017"/>
            </w:tabs>
            <w:ind w:left="440"/>
            <w:rPr>
              <w:rFonts w:asciiTheme="minorHAnsi" w:hAnsiTheme="minorHAnsi" w:cstheme="minorBidi"/>
              <w:color w:val="auto"/>
              <w:kern w:val="2"/>
              <w14:ligatures w14:val="standardContextual"/>
            </w:rPr>
          </w:pPr>
          <w:r>
            <w:rPr>
              <w:color w:val="auto"/>
            </w:rPr>
            <w:fldChar w:fldCharType="begin"/>
          </w:r>
          <w:r>
            <w:rPr>
              <w:color w:val="auto"/>
            </w:rPr>
            <w:instrText xml:space="preserve"> HYPERLINK \l "_Toc242203703" </w:instrText>
          </w:r>
          <w:r>
            <w:rPr>
              <w:color w:val="auto"/>
            </w:rPr>
            <w:fldChar w:fldCharType="separate"/>
          </w:r>
          <w:r>
            <w:rPr>
              <w:rStyle w:val="25"/>
              <w:color w:val="auto"/>
            </w:rPr>
            <w:t>2.3 Logical Data Model of Data Entities</w:t>
          </w:r>
          <w:r>
            <w:rPr>
              <w:color w:val="auto"/>
            </w:rPr>
            <w:tab/>
          </w:r>
          <w:r>
            <w:rPr>
              <w:color w:val="auto"/>
            </w:rPr>
            <w:fldChar w:fldCharType="begin"/>
          </w:r>
          <w:r>
            <w:rPr>
              <w:color w:val="auto"/>
            </w:rPr>
            <w:instrText xml:space="preserve"> PAGEREF _Toc242203703 \h </w:instrText>
          </w:r>
          <w:r>
            <w:rPr>
              <w:color w:val="auto"/>
            </w:rPr>
            <w:fldChar w:fldCharType="separate"/>
          </w:r>
          <w:r>
            <w:rPr>
              <w:color w:val="auto"/>
            </w:rPr>
            <w:t>7</w:t>
          </w:r>
          <w:r>
            <w:rPr>
              <w:color w:val="auto"/>
            </w:rPr>
            <w:fldChar w:fldCharType="end"/>
          </w:r>
          <w:r>
            <w:rPr>
              <w:color w:val="auto"/>
            </w:rPr>
            <w:fldChar w:fldCharType="end"/>
          </w:r>
        </w:p>
        <w:p w14:paraId="3FB319C7">
          <w:pPr>
            <w:pStyle w:val="21"/>
            <w:tabs>
              <w:tab w:val="right" w:leader="dot" w:pos="9017"/>
            </w:tabs>
            <w:ind w:left="440"/>
            <w:rPr>
              <w:rFonts w:asciiTheme="minorHAnsi" w:hAnsiTheme="minorHAnsi" w:cstheme="minorBidi"/>
              <w:color w:val="auto"/>
              <w:kern w:val="2"/>
              <w14:ligatures w14:val="standardContextual"/>
            </w:rPr>
          </w:pPr>
          <w:r>
            <w:rPr>
              <w:color w:val="auto"/>
            </w:rPr>
            <w:fldChar w:fldCharType="begin"/>
          </w:r>
          <w:r>
            <w:rPr>
              <w:color w:val="auto"/>
            </w:rPr>
            <w:instrText xml:space="preserve"> HYPERLINK \l "_Toc242203704" </w:instrText>
          </w:r>
          <w:r>
            <w:rPr>
              <w:color w:val="auto"/>
            </w:rPr>
            <w:fldChar w:fldCharType="separate"/>
          </w:r>
          <w:r>
            <w:rPr>
              <w:rStyle w:val="25"/>
              <w:color w:val="auto"/>
            </w:rPr>
            <w:t>2.4 Design Rationale</w:t>
          </w:r>
          <w:r>
            <w:rPr>
              <w:color w:val="auto"/>
            </w:rPr>
            <w:tab/>
          </w:r>
          <w:r>
            <w:rPr>
              <w:color w:val="auto"/>
            </w:rPr>
            <w:fldChar w:fldCharType="begin"/>
          </w:r>
          <w:r>
            <w:rPr>
              <w:color w:val="auto"/>
            </w:rPr>
            <w:instrText xml:space="preserve"> PAGEREF _Toc242203704 \h </w:instrText>
          </w:r>
          <w:r>
            <w:rPr>
              <w:color w:val="auto"/>
            </w:rPr>
            <w:fldChar w:fldCharType="separate"/>
          </w:r>
          <w:r>
            <w:rPr>
              <w:color w:val="auto"/>
            </w:rPr>
            <w:t>9</w:t>
          </w:r>
          <w:r>
            <w:rPr>
              <w:color w:val="auto"/>
            </w:rPr>
            <w:fldChar w:fldCharType="end"/>
          </w:r>
          <w:r>
            <w:rPr>
              <w:color w:val="auto"/>
            </w:rPr>
            <w:fldChar w:fldCharType="end"/>
          </w:r>
        </w:p>
        <w:p w14:paraId="54F0BCDC">
          <w:pPr>
            <w:pStyle w:val="21"/>
            <w:tabs>
              <w:tab w:val="right" w:leader="dot" w:pos="9017"/>
            </w:tabs>
            <w:ind w:left="440"/>
            <w:rPr>
              <w:rFonts w:asciiTheme="minorHAnsi" w:hAnsiTheme="minorHAnsi" w:cstheme="minorBidi"/>
              <w:color w:val="auto"/>
              <w:kern w:val="2"/>
              <w14:ligatures w14:val="standardContextual"/>
            </w:rPr>
          </w:pPr>
          <w:r>
            <w:rPr>
              <w:color w:val="auto"/>
            </w:rPr>
            <w:fldChar w:fldCharType="begin"/>
          </w:r>
          <w:r>
            <w:rPr>
              <w:color w:val="auto"/>
            </w:rPr>
            <w:instrText xml:space="preserve"> HYPERLINK \l "_Toc242203705" </w:instrText>
          </w:r>
          <w:r>
            <w:rPr>
              <w:color w:val="auto"/>
            </w:rPr>
            <w:fldChar w:fldCharType="separate"/>
          </w:r>
          <w:r>
            <w:rPr>
              <w:rStyle w:val="25"/>
              <w:color w:val="auto"/>
            </w:rPr>
            <w:t>2.5 Design Trade-offs</w:t>
          </w:r>
          <w:r>
            <w:rPr>
              <w:color w:val="auto"/>
            </w:rPr>
            <w:tab/>
          </w:r>
          <w:r>
            <w:rPr>
              <w:color w:val="auto"/>
            </w:rPr>
            <w:fldChar w:fldCharType="begin"/>
          </w:r>
          <w:r>
            <w:rPr>
              <w:color w:val="auto"/>
            </w:rPr>
            <w:instrText xml:space="preserve"> PAGEREF _Toc242203705 \h </w:instrText>
          </w:r>
          <w:r>
            <w:rPr>
              <w:color w:val="auto"/>
            </w:rPr>
            <w:fldChar w:fldCharType="separate"/>
          </w:r>
          <w:r>
            <w:rPr>
              <w:color w:val="auto"/>
            </w:rPr>
            <w:t>10</w:t>
          </w:r>
          <w:r>
            <w:rPr>
              <w:color w:val="auto"/>
            </w:rPr>
            <w:fldChar w:fldCharType="end"/>
          </w:r>
          <w:r>
            <w:rPr>
              <w:color w:val="auto"/>
            </w:rPr>
            <w:fldChar w:fldCharType="end"/>
          </w:r>
        </w:p>
        <w:p w14:paraId="328A2E65">
          <w:pPr>
            <w:pStyle w:val="18"/>
            <w:tabs>
              <w:tab w:val="right" w:leader="dot" w:pos="9017"/>
            </w:tabs>
            <w:rPr>
              <w:rFonts w:asciiTheme="minorHAnsi" w:hAnsiTheme="minorHAnsi" w:cstheme="minorBidi"/>
              <w:color w:val="auto"/>
              <w:kern w:val="2"/>
              <w14:ligatures w14:val="standardContextual"/>
            </w:rPr>
          </w:pPr>
          <w:r>
            <w:rPr>
              <w:color w:val="auto"/>
            </w:rPr>
            <w:fldChar w:fldCharType="begin"/>
          </w:r>
          <w:r>
            <w:rPr>
              <w:color w:val="auto"/>
            </w:rPr>
            <w:instrText xml:space="preserve"> HYPERLINK \l "_Toc242203706" </w:instrText>
          </w:r>
          <w:r>
            <w:rPr>
              <w:color w:val="auto"/>
            </w:rPr>
            <w:fldChar w:fldCharType="separate"/>
          </w:r>
          <w:r>
            <w:rPr>
              <w:rStyle w:val="25"/>
              <w:color w:val="auto"/>
            </w:rPr>
            <w:t>3. Working Prototype Implementation</w:t>
          </w:r>
          <w:r>
            <w:rPr>
              <w:color w:val="auto"/>
            </w:rPr>
            <w:tab/>
          </w:r>
          <w:r>
            <w:rPr>
              <w:color w:val="auto"/>
            </w:rPr>
            <w:fldChar w:fldCharType="begin"/>
          </w:r>
          <w:r>
            <w:rPr>
              <w:color w:val="auto"/>
            </w:rPr>
            <w:instrText xml:space="preserve"> PAGEREF _Toc242203706 \h </w:instrText>
          </w:r>
          <w:r>
            <w:rPr>
              <w:color w:val="auto"/>
            </w:rPr>
            <w:fldChar w:fldCharType="separate"/>
          </w:r>
          <w:r>
            <w:rPr>
              <w:color w:val="auto"/>
            </w:rPr>
            <w:t>11</w:t>
          </w:r>
          <w:r>
            <w:rPr>
              <w:color w:val="auto"/>
            </w:rPr>
            <w:fldChar w:fldCharType="end"/>
          </w:r>
          <w:r>
            <w:rPr>
              <w:color w:val="auto"/>
            </w:rPr>
            <w:fldChar w:fldCharType="end"/>
          </w:r>
        </w:p>
        <w:p w14:paraId="7A22B6CC">
          <w:pPr>
            <w:pStyle w:val="21"/>
            <w:tabs>
              <w:tab w:val="right" w:leader="dot" w:pos="9017"/>
            </w:tabs>
            <w:ind w:left="440"/>
            <w:rPr>
              <w:rFonts w:asciiTheme="minorHAnsi" w:hAnsiTheme="minorHAnsi" w:cstheme="minorBidi"/>
              <w:color w:val="auto"/>
              <w:kern w:val="2"/>
              <w14:ligatures w14:val="standardContextual"/>
            </w:rPr>
          </w:pPr>
          <w:r>
            <w:rPr>
              <w:color w:val="auto"/>
            </w:rPr>
            <w:fldChar w:fldCharType="begin"/>
          </w:r>
          <w:r>
            <w:rPr>
              <w:color w:val="auto"/>
            </w:rPr>
            <w:instrText xml:space="preserve"> HYPERLINK \l "_Toc242203707" </w:instrText>
          </w:r>
          <w:r>
            <w:rPr>
              <w:color w:val="auto"/>
            </w:rPr>
            <w:fldChar w:fldCharType="separate"/>
          </w:r>
          <w:r>
            <w:rPr>
              <w:rStyle w:val="25"/>
              <w:color w:val="auto"/>
            </w:rPr>
            <w:t>3.1 Source system databases and schemas</w:t>
          </w:r>
          <w:r>
            <w:rPr>
              <w:color w:val="auto"/>
            </w:rPr>
            <w:tab/>
          </w:r>
          <w:r>
            <w:rPr>
              <w:color w:val="auto"/>
            </w:rPr>
            <w:fldChar w:fldCharType="begin"/>
          </w:r>
          <w:r>
            <w:rPr>
              <w:color w:val="auto"/>
            </w:rPr>
            <w:instrText xml:space="preserve"> PAGEREF _Toc242203707 \h </w:instrText>
          </w:r>
          <w:r>
            <w:rPr>
              <w:color w:val="auto"/>
            </w:rPr>
            <w:fldChar w:fldCharType="separate"/>
          </w:r>
          <w:r>
            <w:rPr>
              <w:color w:val="auto"/>
            </w:rPr>
            <w:t>11</w:t>
          </w:r>
          <w:r>
            <w:rPr>
              <w:color w:val="auto"/>
            </w:rPr>
            <w:fldChar w:fldCharType="end"/>
          </w:r>
          <w:r>
            <w:rPr>
              <w:color w:val="auto"/>
            </w:rPr>
            <w:fldChar w:fldCharType="end"/>
          </w:r>
        </w:p>
        <w:p w14:paraId="20CBB5B5">
          <w:pPr>
            <w:pStyle w:val="21"/>
            <w:tabs>
              <w:tab w:val="right" w:leader="dot" w:pos="9017"/>
            </w:tabs>
            <w:ind w:left="440"/>
            <w:rPr>
              <w:rFonts w:asciiTheme="minorHAnsi" w:hAnsiTheme="minorHAnsi" w:cstheme="minorBidi"/>
              <w:color w:val="auto"/>
              <w:kern w:val="2"/>
              <w14:ligatures w14:val="standardContextual"/>
            </w:rPr>
          </w:pPr>
          <w:r>
            <w:rPr>
              <w:color w:val="auto"/>
            </w:rPr>
            <w:fldChar w:fldCharType="begin"/>
          </w:r>
          <w:r>
            <w:rPr>
              <w:color w:val="auto"/>
            </w:rPr>
            <w:instrText xml:space="preserve"> HYPERLINK \l "_Toc242203708" </w:instrText>
          </w:r>
          <w:r>
            <w:rPr>
              <w:color w:val="auto"/>
            </w:rPr>
            <w:fldChar w:fldCharType="separate"/>
          </w:r>
          <w:r>
            <w:rPr>
              <w:rStyle w:val="25"/>
              <w:color w:val="auto"/>
            </w:rPr>
            <w:t>3.2 Integrated data warehouse</w:t>
          </w:r>
          <w:r>
            <w:rPr>
              <w:color w:val="auto"/>
            </w:rPr>
            <w:tab/>
          </w:r>
          <w:r>
            <w:rPr>
              <w:color w:val="auto"/>
            </w:rPr>
            <w:fldChar w:fldCharType="begin"/>
          </w:r>
          <w:r>
            <w:rPr>
              <w:color w:val="auto"/>
            </w:rPr>
            <w:instrText xml:space="preserve"> PAGEREF _Toc242203708 \h </w:instrText>
          </w:r>
          <w:r>
            <w:rPr>
              <w:color w:val="auto"/>
            </w:rPr>
            <w:fldChar w:fldCharType="separate"/>
          </w:r>
          <w:r>
            <w:rPr>
              <w:color w:val="auto"/>
            </w:rPr>
            <w:t>11</w:t>
          </w:r>
          <w:r>
            <w:rPr>
              <w:color w:val="auto"/>
            </w:rPr>
            <w:fldChar w:fldCharType="end"/>
          </w:r>
          <w:r>
            <w:rPr>
              <w:color w:val="auto"/>
            </w:rPr>
            <w:fldChar w:fldCharType="end"/>
          </w:r>
        </w:p>
        <w:p w14:paraId="4206B57F">
          <w:pPr>
            <w:pStyle w:val="21"/>
            <w:tabs>
              <w:tab w:val="right" w:leader="dot" w:pos="9017"/>
            </w:tabs>
            <w:ind w:left="440"/>
            <w:rPr>
              <w:rFonts w:asciiTheme="minorHAnsi" w:hAnsiTheme="minorHAnsi" w:cstheme="minorBidi"/>
              <w:color w:val="auto"/>
              <w:kern w:val="2"/>
              <w14:ligatures w14:val="standardContextual"/>
            </w:rPr>
          </w:pPr>
          <w:r>
            <w:rPr>
              <w:color w:val="auto"/>
            </w:rPr>
            <w:fldChar w:fldCharType="begin"/>
          </w:r>
          <w:r>
            <w:rPr>
              <w:color w:val="auto"/>
            </w:rPr>
            <w:instrText xml:space="preserve"> HYPERLINK \l "_Toc242203709" </w:instrText>
          </w:r>
          <w:r>
            <w:rPr>
              <w:color w:val="auto"/>
            </w:rPr>
            <w:fldChar w:fldCharType="separate"/>
          </w:r>
          <w:r>
            <w:rPr>
              <w:rStyle w:val="25"/>
              <w:color w:val="auto"/>
            </w:rPr>
            <w:t>3.3 SQL scripts and synthetic data</w:t>
          </w:r>
          <w:r>
            <w:rPr>
              <w:color w:val="auto"/>
            </w:rPr>
            <w:tab/>
          </w:r>
          <w:r>
            <w:rPr>
              <w:color w:val="auto"/>
            </w:rPr>
            <w:fldChar w:fldCharType="begin"/>
          </w:r>
          <w:r>
            <w:rPr>
              <w:color w:val="auto"/>
            </w:rPr>
            <w:instrText xml:space="preserve"> PAGEREF _Toc242203709 \h </w:instrText>
          </w:r>
          <w:r>
            <w:rPr>
              <w:color w:val="auto"/>
            </w:rPr>
            <w:fldChar w:fldCharType="separate"/>
          </w:r>
          <w:r>
            <w:rPr>
              <w:color w:val="auto"/>
            </w:rPr>
            <w:t>12</w:t>
          </w:r>
          <w:r>
            <w:rPr>
              <w:color w:val="auto"/>
            </w:rPr>
            <w:fldChar w:fldCharType="end"/>
          </w:r>
          <w:r>
            <w:rPr>
              <w:color w:val="auto"/>
            </w:rPr>
            <w:fldChar w:fldCharType="end"/>
          </w:r>
        </w:p>
        <w:p w14:paraId="166DB3B0">
          <w:pPr>
            <w:pStyle w:val="21"/>
            <w:tabs>
              <w:tab w:val="right" w:leader="dot" w:pos="9017"/>
            </w:tabs>
            <w:ind w:left="440"/>
            <w:rPr>
              <w:rFonts w:asciiTheme="minorHAnsi" w:hAnsiTheme="minorHAnsi" w:cstheme="minorBidi"/>
              <w:color w:val="auto"/>
              <w:kern w:val="2"/>
              <w14:ligatures w14:val="standardContextual"/>
            </w:rPr>
          </w:pPr>
          <w:r>
            <w:rPr>
              <w:color w:val="auto"/>
            </w:rPr>
            <w:fldChar w:fldCharType="begin"/>
          </w:r>
          <w:r>
            <w:rPr>
              <w:color w:val="auto"/>
            </w:rPr>
            <w:instrText xml:space="preserve"> HYPERLINK \l "_Toc242203710" </w:instrText>
          </w:r>
          <w:r>
            <w:rPr>
              <w:color w:val="auto"/>
            </w:rPr>
            <w:fldChar w:fldCharType="separate"/>
          </w:r>
          <w:r>
            <w:rPr>
              <w:rStyle w:val="25"/>
              <w:color w:val="auto"/>
            </w:rPr>
            <w:t>3.4 Reports and dashboard</w:t>
          </w:r>
          <w:r>
            <w:rPr>
              <w:color w:val="auto"/>
            </w:rPr>
            <w:tab/>
          </w:r>
          <w:r>
            <w:rPr>
              <w:color w:val="auto"/>
            </w:rPr>
            <w:fldChar w:fldCharType="begin"/>
          </w:r>
          <w:r>
            <w:rPr>
              <w:color w:val="auto"/>
            </w:rPr>
            <w:instrText xml:space="preserve"> PAGEREF _Toc242203710 \h </w:instrText>
          </w:r>
          <w:r>
            <w:rPr>
              <w:color w:val="auto"/>
            </w:rPr>
            <w:fldChar w:fldCharType="separate"/>
          </w:r>
          <w:r>
            <w:rPr>
              <w:color w:val="auto"/>
            </w:rPr>
            <w:t>13</w:t>
          </w:r>
          <w:r>
            <w:rPr>
              <w:color w:val="auto"/>
            </w:rPr>
            <w:fldChar w:fldCharType="end"/>
          </w:r>
          <w:r>
            <w:rPr>
              <w:color w:val="auto"/>
            </w:rPr>
            <w:fldChar w:fldCharType="end"/>
          </w:r>
        </w:p>
        <w:p w14:paraId="099325A8">
          <w:pPr>
            <w:pStyle w:val="21"/>
            <w:tabs>
              <w:tab w:val="right" w:leader="dot" w:pos="9017"/>
            </w:tabs>
            <w:ind w:left="440"/>
            <w:rPr>
              <w:rFonts w:asciiTheme="minorHAnsi" w:hAnsiTheme="minorHAnsi" w:cstheme="minorBidi"/>
              <w:color w:val="auto"/>
              <w:kern w:val="2"/>
              <w14:ligatures w14:val="standardContextual"/>
            </w:rPr>
          </w:pPr>
          <w:r>
            <w:rPr>
              <w:color w:val="auto"/>
            </w:rPr>
            <w:fldChar w:fldCharType="begin"/>
          </w:r>
          <w:r>
            <w:rPr>
              <w:color w:val="auto"/>
            </w:rPr>
            <w:instrText xml:space="preserve"> HYPERLINK \l "_Toc242203711" </w:instrText>
          </w:r>
          <w:r>
            <w:rPr>
              <w:color w:val="auto"/>
            </w:rPr>
            <w:fldChar w:fldCharType="separate"/>
          </w:r>
          <w:r>
            <w:rPr>
              <w:rStyle w:val="25"/>
              <w:color w:val="auto"/>
            </w:rPr>
            <w:t>3.5 End-to-end testing</w:t>
          </w:r>
          <w:r>
            <w:rPr>
              <w:color w:val="auto"/>
            </w:rPr>
            <w:tab/>
          </w:r>
          <w:r>
            <w:rPr>
              <w:color w:val="auto"/>
            </w:rPr>
            <w:fldChar w:fldCharType="begin"/>
          </w:r>
          <w:r>
            <w:rPr>
              <w:color w:val="auto"/>
            </w:rPr>
            <w:instrText xml:space="preserve"> PAGEREF _Toc242203711 \h </w:instrText>
          </w:r>
          <w:r>
            <w:rPr>
              <w:color w:val="auto"/>
            </w:rPr>
            <w:fldChar w:fldCharType="separate"/>
          </w:r>
          <w:r>
            <w:rPr>
              <w:color w:val="auto"/>
            </w:rPr>
            <w:t>15</w:t>
          </w:r>
          <w:r>
            <w:rPr>
              <w:color w:val="auto"/>
            </w:rPr>
            <w:fldChar w:fldCharType="end"/>
          </w:r>
          <w:r>
            <w:rPr>
              <w:color w:val="auto"/>
            </w:rPr>
            <w:fldChar w:fldCharType="end"/>
          </w:r>
        </w:p>
        <w:p w14:paraId="6D1852C7">
          <w:pPr>
            <w:pStyle w:val="18"/>
            <w:tabs>
              <w:tab w:val="right" w:leader="dot" w:pos="9017"/>
            </w:tabs>
            <w:rPr>
              <w:rFonts w:asciiTheme="minorHAnsi" w:hAnsiTheme="minorHAnsi" w:cstheme="minorBidi"/>
              <w:color w:val="auto"/>
              <w:kern w:val="2"/>
              <w14:ligatures w14:val="standardContextual"/>
            </w:rPr>
          </w:pPr>
          <w:r>
            <w:rPr>
              <w:color w:val="auto"/>
            </w:rPr>
            <w:fldChar w:fldCharType="begin"/>
          </w:r>
          <w:r>
            <w:rPr>
              <w:color w:val="auto"/>
            </w:rPr>
            <w:instrText xml:space="preserve"> HYPERLINK \l "_Toc242203712" </w:instrText>
          </w:r>
          <w:r>
            <w:rPr>
              <w:color w:val="auto"/>
            </w:rPr>
            <w:fldChar w:fldCharType="separate"/>
          </w:r>
          <w:r>
            <w:rPr>
              <w:rStyle w:val="25"/>
              <w:color w:val="auto"/>
            </w:rPr>
            <w:t>4. Report Summary and Conclusion</w:t>
          </w:r>
          <w:r>
            <w:rPr>
              <w:color w:val="auto"/>
            </w:rPr>
            <w:tab/>
          </w:r>
          <w:r>
            <w:rPr>
              <w:color w:val="auto"/>
            </w:rPr>
            <w:fldChar w:fldCharType="begin"/>
          </w:r>
          <w:r>
            <w:rPr>
              <w:color w:val="auto"/>
            </w:rPr>
            <w:instrText xml:space="preserve"> PAGEREF _Toc242203712 \h </w:instrText>
          </w:r>
          <w:r>
            <w:rPr>
              <w:color w:val="auto"/>
            </w:rPr>
            <w:fldChar w:fldCharType="separate"/>
          </w:r>
          <w:r>
            <w:rPr>
              <w:color w:val="auto"/>
            </w:rPr>
            <w:t>17</w:t>
          </w:r>
          <w:r>
            <w:rPr>
              <w:color w:val="auto"/>
            </w:rPr>
            <w:fldChar w:fldCharType="end"/>
          </w:r>
          <w:r>
            <w:rPr>
              <w:color w:val="auto"/>
            </w:rPr>
            <w:fldChar w:fldCharType="end"/>
          </w:r>
        </w:p>
        <w:p w14:paraId="592C97B3">
          <w:pPr>
            <w:pStyle w:val="18"/>
            <w:tabs>
              <w:tab w:val="right" w:leader="dot" w:pos="9017"/>
            </w:tabs>
            <w:rPr>
              <w:rFonts w:asciiTheme="minorHAnsi" w:hAnsiTheme="minorHAnsi" w:cstheme="minorBidi"/>
              <w:color w:val="auto"/>
              <w:kern w:val="2"/>
              <w14:ligatures w14:val="standardContextual"/>
            </w:rPr>
          </w:pPr>
          <w:r>
            <w:rPr>
              <w:color w:val="auto"/>
            </w:rPr>
            <w:fldChar w:fldCharType="begin"/>
          </w:r>
          <w:r>
            <w:rPr>
              <w:color w:val="auto"/>
            </w:rPr>
            <w:instrText xml:space="preserve"> HYPERLINK \l "_Toc242203713" </w:instrText>
          </w:r>
          <w:r>
            <w:rPr>
              <w:color w:val="auto"/>
            </w:rPr>
            <w:fldChar w:fldCharType="separate"/>
          </w:r>
          <w:r>
            <w:rPr>
              <w:rStyle w:val="25"/>
              <w:color w:val="auto"/>
            </w:rPr>
            <w:t>Appendix</w:t>
          </w:r>
          <w:r>
            <w:rPr>
              <w:color w:val="auto"/>
            </w:rPr>
            <w:tab/>
          </w:r>
          <w:r>
            <w:rPr>
              <w:color w:val="auto"/>
            </w:rPr>
            <w:fldChar w:fldCharType="begin"/>
          </w:r>
          <w:r>
            <w:rPr>
              <w:color w:val="auto"/>
            </w:rPr>
            <w:instrText xml:space="preserve"> PAGEREF _Toc242203713 \h </w:instrText>
          </w:r>
          <w:r>
            <w:rPr>
              <w:color w:val="auto"/>
            </w:rPr>
            <w:fldChar w:fldCharType="separate"/>
          </w:r>
          <w:r>
            <w:rPr>
              <w:color w:val="auto"/>
            </w:rPr>
            <w:t>18</w:t>
          </w:r>
          <w:r>
            <w:rPr>
              <w:color w:val="auto"/>
            </w:rPr>
            <w:fldChar w:fldCharType="end"/>
          </w:r>
          <w:r>
            <w:rPr>
              <w:color w:val="auto"/>
            </w:rPr>
            <w:fldChar w:fldCharType="end"/>
          </w:r>
        </w:p>
        <w:p w14:paraId="588C1A50">
          <w:pPr>
            <w:rPr>
              <w:color w:val="auto"/>
            </w:rPr>
          </w:pPr>
          <w:r>
            <w:rPr>
              <w:color w:val="auto"/>
            </w:rPr>
            <w:fldChar w:fldCharType="end"/>
          </w:r>
        </w:p>
      </w:sdtContent>
    </w:sdt>
    <w:p w14:paraId="11DA6228">
      <w:pPr>
        <w:pStyle w:val="2"/>
        <w:rPr>
          <w:color w:val="auto"/>
        </w:rPr>
      </w:pPr>
      <w:bookmarkStart w:id="0" w:name="_Toc242203698"/>
      <w:bookmarkStart w:id="1" w:name="executive-summary"/>
      <w:r>
        <w:rPr>
          <w:color w:val="auto"/>
        </w:rPr>
        <w:t>Executive Summary</w:t>
      </w:r>
      <w:bookmarkEnd w:id="0"/>
    </w:p>
    <w:p w14:paraId="01F44C03">
      <w:pPr>
        <w:pStyle w:val="28"/>
        <w:rPr>
          <w:color w:val="auto"/>
        </w:rPr>
      </w:pPr>
      <w:r>
        <w:rPr>
          <w:color w:val="auto"/>
        </w:rPr>
        <w:t>PetHaven is a fictional Sydney pet-supplies retailer with five stores and a website. The website shows one stock number per product for all five stores, and that number is only updated when a sync is run. In-store sales, supplier deliveries and cancellations change real stock straight away, so between syncs the website can show stock that no store has. Customers add these items to their bag and only find out at checkout that they cannot buy them.</w:t>
      </w:r>
    </w:p>
    <w:p w14:paraId="1414BA67">
      <w:pPr>
        <w:pStyle w:val="3"/>
        <w:rPr>
          <w:color w:val="auto"/>
        </w:rPr>
      </w:pPr>
      <w:r>
        <w:rPr>
          <w:color w:val="auto"/>
        </w:rPr>
        <w:t>We designed and built a prototype for this problem in the Lab Environment on PostgreSQL 15. Three source systems (a store system, a delivery system and an online store) each keep their own codes, units and time zones. An ETL layer captures every source record, matches codes through approved cross-references, converts cartons to units and UTC to Sydney time, and loads one stock-event fact table in a star schema. A manual sync copies real shelf totals from the store system to the website, and the warehouse records what each sync changed. Report views and a web dashboard show current stock, how stale the website is and which checkouts were blocked. One script builds the whole prototype, and it passes 95 automated behaviour checks and 53 dashboard checks.</w:t>
      </w:r>
    </w:p>
    <w:bookmarkEnd w:id="1"/>
    <w:p w14:paraId="7A3FB471">
      <w:pPr>
        <w:pStyle w:val="2"/>
        <w:rPr>
          <w:color w:val="auto"/>
        </w:rPr>
      </w:pPr>
      <w:bookmarkStart w:id="2" w:name="_Toc242203699"/>
      <w:bookmarkStart w:id="3" w:name="introduction"/>
      <w:r>
        <w:rPr>
          <w:color w:val="auto"/>
        </w:rPr>
        <w:t>1. Introduction</w:t>
      </w:r>
      <w:bookmarkEnd w:id="2"/>
    </w:p>
    <w:p w14:paraId="78FA5EA4">
      <w:pPr>
        <w:pStyle w:val="28"/>
        <w:rPr>
          <w:color w:val="auto"/>
        </w:rPr>
      </w:pPr>
      <w:r>
        <w:rPr>
          <w:color w:val="auto"/>
        </w:rPr>
        <w:t>PetHaven sells pet food, treats, toys, bedding, health and aquarium products in five Sydney stores (Parramatta, Bondi Junction, Chatswood, Newtown and Penrith) and on its website. Customers buy either at a store till or online, collecting the order from a store they choose.</w:t>
      </w:r>
    </w:p>
    <w:p w14:paraId="380DA2B4">
      <w:pPr>
        <w:pStyle w:val="3"/>
        <w:rPr>
          <w:color w:val="auto"/>
        </w:rPr>
      </w:pPr>
      <w:r>
        <w:rPr>
          <w:color w:val="auto"/>
        </w:rPr>
        <w:t>The website shows one combined “available” number per product for all five stores, and that number is refreshed only when someone runs a sync. Every till sale, supplier delivery and cancelled order changes the real stock in a store at once. Between syncs the website can show stock that is already gone, so customers put items in their bag and are only told at checkout that no store can supply them. The number can also be too low, which hides stock and loses sales.</w:t>
      </w:r>
    </w:p>
    <w:p w14:paraId="7E27A73B">
      <w:pPr>
        <w:pStyle w:val="3"/>
        <w:rPr>
          <w:color w:val="auto"/>
        </w:rPr>
      </w:pPr>
      <w:r>
        <w:rPr>
          <w:color w:val="auto"/>
        </w:rPr>
        <w:t>The cause is the delay between a stock change in one system and its use in another. A second problem makes it hard to measure: the three systems involved name stores and products differently. The store system uses barcodes, the delivery system uses supplier SKUs counted in cartons with times in UTC, and the online store uses its own web SKUs. Their records have to be matched reliably before they can be combined.</w:t>
      </w:r>
    </w:p>
    <w:p w14:paraId="52478C73">
      <w:pPr>
        <w:pStyle w:val="3"/>
        <w:rPr>
          <w:color w:val="auto"/>
        </w:rPr>
      </w:pPr>
      <w:r>
        <w:rPr>
          <w:color w:val="auto"/>
        </w:rPr>
        <w:t>The prototype has five goals:</w:t>
      </w:r>
    </w:p>
    <w:p w14:paraId="1DE40819">
      <w:pPr>
        <w:pStyle w:val="29"/>
        <w:numPr>
          <w:ilvl w:val="0"/>
          <w:numId w:val="1"/>
        </w:numPr>
        <w:rPr>
          <w:color w:val="auto"/>
        </w:rPr>
      </w:pPr>
      <w:r>
        <w:rPr>
          <w:color w:val="auto"/>
        </w:rPr>
        <w:t>Run three source systems as separate PostgreSQL schemas, each with its own codes and rules.</w:t>
      </w:r>
    </w:p>
    <w:p w14:paraId="50176546">
      <w:pPr>
        <w:pStyle w:val="29"/>
        <w:numPr>
          <w:ilvl w:val="0"/>
          <w:numId w:val="1"/>
        </w:numPr>
        <w:rPr>
          <w:color w:val="auto"/>
        </w:rPr>
      </w:pPr>
      <w:r>
        <w:rPr>
          <w:color w:val="auto"/>
        </w:rPr>
        <w:t>Load every stock change into one data warehouse through an ETL layer that converts units and times and matches codes only through approved mappings.</w:t>
      </w:r>
    </w:p>
    <w:p w14:paraId="2C94FF21">
      <w:pPr>
        <w:pStyle w:val="29"/>
        <w:numPr>
          <w:ilvl w:val="0"/>
          <w:numId w:val="1"/>
        </w:numPr>
        <w:rPr>
          <w:color w:val="auto"/>
        </w:rPr>
      </w:pPr>
      <w:r>
        <w:rPr>
          <w:color w:val="auto"/>
        </w:rPr>
        <w:t>Let the online store refresh the website number on demand from real shelf stock, while the warehouse records what each sync changed.</w:t>
      </w:r>
    </w:p>
    <w:p w14:paraId="6B0C6084">
      <w:pPr>
        <w:pStyle w:val="29"/>
        <w:numPr>
          <w:ilvl w:val="0"/>
          <w:numId w:val="1"/>
        </w:numPr>
        <w:rPr>
          <w:color w:val="auto"/>
        </w:rPr>
      </w:pPr>
      <w:r>
        <w:rPr>
          <w:color w:val="auto"/>
        </w:rPr>
        <w:t>Report what stock each store holds, how stale the website is, and which checkouts were blocked and why.</w:t>
      </w:r>
    </w:p>
    <w:p w14:paraId="54DF8563">
      <w:pPr>
        <w:pStyle w:val="29"/>
        <w:numPr>
          <w:ilvl w:val="0"/>
          <w:numId w:val="1"/>
        </w:numPr>
        <w:rPr>
          <w:color w:val="auto"/>
        </w:rPr>
      </w:pPr>
      <w:r>
        <w:rPr>
          <w:color w:val="auto"/>
        </w:rPr>
        <w:t>Show that all of this works with repeatable automated checks and a recorded demonstration.</w:t>
      </w:r>
    </w:p>
    <w:bookmarkEnd w:id="3"/>
    <w:p w14:paraId="1E0D144A">
      <w:pPr>
        <w:pStyle w:val="2"/>
        <w:rPr>
          <w:color w:val="auto"/>
        </w:rPr>
      </w:pPr>
      <w:bookmarkStart w:id="4" w:name="_Toc242203700"/>
      <w:bookmarkStart w:id="5" w:name="solution-design"/>
      <w:r>
        <w:rPr>
          <w:color w:val="auto"/>
        </w:rPr>
        <w:t>2. Solution Design</w:t>
      </w:r>
      <w:bookmarkEnd w:id="4"/>
    </w:p>
    <w:p w14:paraId="76D00EE1">
      <w:pPr>
        <w:pStyle w:val="4"/>
        <w:rPr>
          <w:color w:val="auto"/>
        </w:rPr>
      </w:pPr>
      <w:bookmarkStart w:id="6" w:name="_Toc242203701"/>
      <w:bookmarkStart w:id="7" w:name="solution-architecture"/>
      <w:r>
        <w:rPr>
          <w:color w:val="auto"/>
        </w:rPr>
        <w:t>2.1 Solution Architecture</w:t>
      </w:r>
      <w:bookmarkEnd w:id="6"/>
    </w:p>
    <w:tbl>
      <w:tblPr>
        <w:tblStyle w:val="22"/>
        <w:tblW w:w="5000" w:type="pct"/>
        <w:tblInd w:w="0" w:type="dxa"/>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shd w:val="clear" w:color="auto" w:fill="F5F5F5"/>
        <w:tblLayout w:type="fixed"/>
        <w:tblCellMar>
          <w:top w:w="0" w:type="dxa"/>
          <w:left w:w="108" w:type="dxa"/>
          <w:bottom w:w="0" w:type="dxa"/>
          <w:right w:w="108" w:type="dxa"/>
        </w:tblCellMar>
      </w:tblPr>
      <w:tblGrid>
        <w:gridCol w:w="9243"/>
      </w:tblGrid>
      <w:tr w14:paraId="54A7B770">
        <w:tblPrEx>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shd w:val="clear" w:color="auto" w:fill="F5F5F5"/>
          <w:tblCellMar>
            <w:top w:w="0" w:type="dxa"/>
            <w:left w:w="108" w:type="dxa"/>
            <w:bottom w:w="0" w:type="dxa"/>
            <w:right w:w="108" w:type="dxa"/>
          </w:tblCellMar>
        </w:tblPrEx>
        <w:trPr>
          <w:cantSplit/>
          <w:trHeight w:val="3000" w:hRule="exact"/>
        </w:trPr>
        <w:tc>
          <w:tcPr>
            <w:tcW w:w="9243" w:type="dxa"/>
            <w:shd w:val="clear" w:color="auto" w:fill="F5F5F5"/>
            <w:vAlign w:val="center"/>
          </w:tcPr>
          <w:p w14:paraId="67DAEC4A">
            <w:pPr>
              <w:pStyle w:val="57"/>
              <w:rPr>
                <w:color w:val="auto"/>
              </w:rPr>
            </w:pPr>
            <w:r>
              <w:rPr>
                <w:color w:val="auto"/>
              </w:rPr>
              <w:t>[Figure 1 — insert here]</w:t>
            </w:r>
          </w:p>
        </w:tc>
      </w:tr>
    </w:tbl>
    <w:p w14:paraId="26D7D031">
      <w:pPr>
        <w:pStyle w:val="57"/>
        <w:rPr>
          <w:color w:val="auto"/>
        </w:rPr>
      </w:pPr>
    </w:p>
    <w:p w14:paraId="405AA46B">
      <w:pPr>
        <w:pStyle w:val="58"/>
        <w:rPr>
          <w:color w:val="auto"/>
        </w:rPr>
      </w:pPr>
      <w:r>
        <w:rPr>
          <w:color w:val="auto"/>
        </w:rPr>
        <w:t xml:space="preserve">TODO: Architecture diagram. Use the “How data reaches the reports” diagram on the dashboard’s Integration &amp; Quality page, or export the Mermaid diagram from </w:t>
      </w:r>
      <w:r>
        <w:rPr>
          <w:rStyle w:val="53"/>
          <w:color w:val="auto"/>
        </w:rPr>
        <w:t>docs/Architecture_and_Data_Model.md</w:t>
      </w:r>
      <w:r>
        <w:rPr>
          <w:color w:val="auto"/>
        </w:rPr>
        <w:t xml:space="preserve"> §2 via mermaid.live.</w:t>
      </w:r>
    </w:p>
    <w:p w14:paraId="706274AF">
      <w:pPr>
        <w:pStyle w:val="3"/>
        <w:rPr>
          <w:color w:val="auto"/>
        </w:rPr>
      </w:pPr>
      <w:r>
        <w:rPr>
          <w:color w:val="auto"/>
        </w:rPr>
        <w:t>The solution has five layers, each in its own PostgreSQL schema. Three are the operational systems PetHaven uses every day:</w:t>
      </w:r>
    </w:p>
    <w:p w14:paraId="0C235949">
      <w:pPr>
        <w:pStyle w:val="29"/>
        <w:numPr>
          <w:ilvl w:val="0"/>
          <w:numId w:val="2"/>
        </w:numPr>
        <w:rPr>
          <w:color w:val="auto"/>
        </w:rPr>
      </w:pPr>
      <w:r>
        <w:rPr>
          <w:b/>
          <w:bCs/>
          <w:color w:val="auto"/>
        </w:rPr>
        <w:t>Store system</w:t>
      </w:r>
      <w:r>
        <w:rPr>
          <w:color w:val="auto"/>
        </w:rPr>
        <w:t xml:space="preserve"> (</w:t>
      </w:r>
      <w:r>
        <w:rPr>
          <w:rStyle w:val="53"/>
          <w:color w:val="auto"/>
        </w:rPr>
        <w:t>store_ops</w:t>
      </w:r>
      <w:r>
        <w:rPr>
          <w:color w:val="auto"/>
        </w:rPr>
        <w:t>): tills, live shelf and reserved stock in each store, and click-and-collect holds.</w:t>
      </w:r>
    </w:p>
    <w:p w14:paraId="4324F4CD">
      <w:pPr>
        <w:pStyle w:val="29"/>
        <w:numPr>
          <w:ilvl w:val="0"/>
          <w:numId w:val="2"/>
        </w:numPr>
        <w:rPr>
          <w:color w:val="auto"/>
        </w:rPr>
      </w:pPr>
      <w:r>
        <w:rPr>
          <w:b/>
          <w:bCs/>
          <w:color w:val="auto"/>
        </w:rPr>
        <w:t>Delivery system</w:t>
      </w:r>
      <w:r>
        <w:rPr>
          <w:color w:val="auto"/>
        </w:rPr>
        <w:t xml:space="preserve"> (</w:t>
      </w:r>
      <w:r>
        <w:rPr>
          <w:rStyle w:val="53"/>
          <w:color w:val="auto"/>
        </w:rPr>
        <w:t>supply</w:t>
      </w:r>
      <w:r>
        <w:rPr>
          <w:color w:val="auto"/>
        </w:rPr>
        <w:t>): supplier deliveries to each store, recorded in cartons.</w:t>
      </w:r>
    </w:p>
    <w:p w14:paraId="7BD0278C">
      <w:pPr>
        <w:pStyle w:val="29"/>
        <w:numPr>
          <w:ilvl w:val="0"/>
          <w:numId w:val="2"/>
        </w:numPr>
        <w:rPr>
          <w:color w:val="auto"/>
        </w:rPr>
      </w:pPr>
      <w:r>
        <w:rPr>
          <w:b/>
          <w:bCs/>
          <w:color w:val="auto"/>
        </w:rPr>
        <w:t>Online store</w:t>
      </w:r>
      <w:r>
        <w:rPr>
          <w:color w:val="auto"/>
        </w:rPr>
        <w:t xml:space="preserve"> (</w:t>
      </w:r>
      <w:r>
        <w:rPr>
          <w:rStyle w:val="53"/>
          <w:color w:val="auto"/>
        </w:rPr>
        <w:t>online</w:t>
      </w:r>
      <w:r>
        <w:rPr>
          <w:color w:val="auto"/>
        </w:rPr>
        <w:t>): the web catalogue, the website stock number, the customer’s bag, checkout and online orders.</w:t>
      </w:r>
    </w:p>
    <w:p w14:paraId="7B8A2635">
      <w:pPr>
        <w:pStyle w:val="28"/>
        <w:rPr>
          <w:color w:val="auto"/>
        </w:rPr>
      </w:pPr>
      <w:r>
        <w:rPr>
          <w:color w:val="auto"/>
        </w:rPr>
        <w:t xml:space="preserve">The other two layers are the </w:t>
      </w:r>
      <w:r>
        <w:rPr>
          <w:b/>
          <w:bCs/>
          <w:color w:val="auto"/>
        </w:rPr>
        <w:t>ETL layer</w:t>
      </w:r>
      <w:r>
        <w:rPr>
          <w:color w:val="auto"/>
        </w:rPr>
        <w:t xml:space="preserve"> (</w:t>
      </w:r>
      <w:r>
        <w:rPr>
          <w:rStyle w:val="53"/>
          <w:color w:val="auto"/>
        </w:rPr>
        <w:t>etl</w:t>
      </w:r>
      <w:r>
        <w:rPr>
          <w:color w:val="auto"/>
        </w:rPr>
        <w:t xml:space="preserve">), which moves data from the sources into the warehouse, and the </w:t>
      </w:r>
      <w:r>
        <w:rPr>
          <w:b/>
          <w:bCs/>
          <w:color w:val="auto"/>
        </w:rPr>
        <w:t>integrated data warehouse</w:t>
      </w:r>
      <w:r>
        <w:rPr>
          <w:color w:val="auto"/>
        </w:rPr>
        <w:t xml:space="preserve"> (</w:t>
      </w:r>
      <w:r>
        <w:rPr>
          <w:rStyle w:val="53"/>
          <w:color w:val="auto"/>
        </w:rPr>
        <w:t>dw</w:t>
      </w:r>
      <w:r>
        <w:rPr>
          <w:color w:val="auto"/>
        </w:rPr>
        <w:t>), which the reports read.</w:t>
      </w:r>
    </w:p>
    <w:p w14:paraId="7DE8C54C">
      <w:pPr>
        <w:pStyle w:val="3"/>
        <w:rPr>
          <w:color w:val="auto"/>
        </w:rPr>
      </w:pPr>
      <w:r>
        <w:rPr>
          <w:color w:val="auto"/>
        </w:rPr>
        <w:t>The three source systems behave like separate products from different vendors. No source table has a foreign key into another source. They interact only through a few business functions, for example a delivery calls the store system’s function for receiving goods, and checkout asks the store system to find and hold stock.</w:t>
      </w:r>
    </w:p>
    <w:p w14:paraId="65E5F329">
      <w:pPr>
        <w:pStyle w:val="3"/>
        <w:rPr>
          <w:color w:val="auto"/>
        </w:rPr>
      </w:pPr>
      <w:r>
        <w:rPr>
          <w:color w:val="auto"/>
        </w:rPr>
        <w:t xml:space="preserve">Data moves along two separate paths. On the </w:t>
      </w:r>
      <w:r>
        <w:rPr>
          <w:b/>
          <w:bCs/>
          <w:color w:val="auto"/>
        </w:rPr>
        <w:t>analytical path</w:t>
      </w:r>
      <w:r>
        <w:rPr>
          <w:color w:val="auto"/>
        </w:rPr>
        <w:t xml:space="preserve">, a business action changes a source system, the ETL copies the record into staging, transforms it and loads it into the warehouse, and reports read the warehouse. On the </w:t>
      </w:r>
      <w:r>
        <w:rPr>
          <w:b/>
          <w:bCs/>
          <w:color w:val="auto"/>
        </w:rPr>
        <w:t>operational path</w:t>
      </w:r>
      <w:r>
        <w:rPr>
          <w:color w:val="auto"/>
        </w:rPr>
        <w:t>, the sync reads real shelf totals from the store system and writes them to the website number. The warehouse is not part of this path; it only receives a log of each sync so the reports can show what was corrected.</w:t>
      </w:r>
    </w:p>
    <w:bookmarkEnd w:id="7"/>
    <w:p w14:paraId="41AE6428">
      <w:pPr>
        <w:pStyle w:val="4"/>
        <w:rPr>
          <w:color w:val="auto"/>
        </w:rPr>
      </w:pPr>
      <w:bookmarkStart w:id="8" w:name="_Toc242203702"/>
      <w:bookmarkStart w:id="9" w:name="conceptual-model-of-data-entities"/>
      <w:r>
        <w:rPr>
          <w:color w:val="auto"/>
        </w:rPr>
        <w:t>2.2 Conceptual Model of Data Entities</w:t>
      </w:r>
      <w:bookmarkEnd w:id="8"/>
    </w:p>
    <w:tbl>
      <w:tblPr>
        <w:tblStyle w:val="22"/>
        <w:tblW w:w="5000" w:type="pct"/>
        <w:tblInd w:w="0" w:type="dxa"/>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shd w:val="clear" w:color="auto" w:fill="F5F5F5"/>
        <w:tblLayout w:type="fixed"/>
        <w:tblCellMar>
          <w:top w:w="0" w:type="dxa"/>
          <w:left w:w="108" w:type="dxa"/>
          <w:bottom w:w="0" w:type="dxa"/>
          <w:right w:w="108" w:type="dxa"/>
        </w:tblCellMar>
      </w:tblPr>
      <w:tblGrid>
        <w:gridCol w:w="9243"/>
      </w:tblGrid>
      <w:tr w14:paraId="06863B82">
        <w:tblPrEx>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tblCellMar>
            <w:top w:w="0" w:type="dxa"/>
            <w:left w:w="108" w:type="dxa"/>
            <w:bottom w:w="0" w:type="dxa"/>
            <w:right w:w="108" w:type="dxa"/>
          </w:tblCellMar>
        </w:tblPrEx>
        <w:trPr>
          <w:cantSplit/>
          <w:trHeight w:val="3000" w:hRule="exact"/>
        </w:trPr>
        <w:tc>
          <w:tcPr>
            <w:tcW w:w="9243" w:type="dxa"/>
            <w:shd w:val="clear" w:color="auto" w:fill="F5F5F5"/>
            <w:vAlign w:val="center"/>
          </w:tcPr>
          <w:p w14:paraId="59860BF9">
            <w:pPr>
              <w:pStyle w:val="57"/>
              <w:rPr>
                <w:color w:val="auto"/>
              </w:rPr>
            </w:pPr>
            <w:r>
              <w:rPr>
                <w:color w:val="auto"/>
              </w:rPr>
              <w:t>[Figure 2 — insert here]</w:t>
            </w:r>
          </w:p>
        </w:tc>
      </w:tr>
    </w:tbl>
    <w:p w14:paraId="5A451A76">
      <w:pPr>
        <w:pStyle w:val="57"/>
        <w:rPr>
          <w:color w:val="auto"/>
        </w:rPr>
      </w:pPr>
    </w:p>
    <w:p w14:paraId="28150918">
      <w:pPr>
        <w:pStyle w:val="58"/>
        <w:rPr>
          <w:color w:val="auto"/>
        </w:rPr>
      </w:pPr>
      <w:r>
        <w:rPr>
          <w:color w:val="auto"/>
        </w:rPr>
        <w:t xml:space="preserve">TODO: Conceptual ER diagram. Mermaid diagram in </w:t>
      </w:r>
      <w:r>
        <w:rPr>
          <w:rStyle w:val="53"/>
          <w:color w:val="auto"/>
        </w:rPr>
        <w:t>docs/Architecture_and_Data_Model.md</w:t>
      </w:r>
      <w:r>
        <w:rPr>
          <w:color w:val="auto"/>
        </w:rPr>
        <w:t xml:space="preserve"> §3.</w:t>
      </w:r>
    </w:p>
    <w:p w14:paraId="4A0AAA98">
      <w:pPr>
        <w:pStyle w:val="3"/>
        <w:rPr>
          <w:color w:val="auto"/>
        </w:rPr>
      </w:pPr>
      <w:r>
        <w:rPr>
          <w:color w:val="auto"/>
        </w:rPr>
        <w:t xml:space="preserve">The central entity is the </w:t>
      </w:r>
      <w:r>
        <w:rPr>
          <w:b/>
          <w:bCs/>
          <w:color w:val="auto"/>
        </w:rPr>
        <w:t>stock position</w:t>
      </w:r>
      <w:r>
        <w:rPr>
          <w:color w:val="auto"/>
        </w:rPr>
        <w:t xml:space="preserve">: the units of one product at one store. It has two parts. </w:t>
      </w:r>
      <w:r>
        <w:rPr>
          <w:b/>
          <w:bCs/>
          <w:color w:val="auto"/>
        </w:rPr>
        <w:t>In store</w:t>
      </w:r>
      <w:r>
        <w:rPr>
          <w:color w:val="auto"/>
        </w:rPr>
        <w:t xml:space="preserve"> units are on the shelf and free to sell. </w:t>
      </w:r>
      <w:r>
        <w:rPr>
          <w:b/>
          <w:bCs/>
          <w:color w:val="auto"/>
        </w:rPr>
        <w:t>Reserved</w:t>
      </w:r>
      <w:r>
        <w:rPr>
          <w:color w:val="auto"/>
        </w:rPr>
        <w:t xml:space="preserve"> units are held for online orders. Till sales and deliveries change the shelf. Online orders create </w:t>
      </w:r>
      <w:r>
        <w:rPr>
          <w:b/>
          <w:bCs/>
          <w:color w:val="auto"/>
        </w:rPr>
        <w:t>reservations</w:t>
      </w:r>
      <w:r>
        <w:rPr>
          <w:color w:val="auto"/>
        </w:rPr>
        <w:t xml:space="preserve">, which hold stock at a store until the customer collects it. Every one of these changes is a </w:t>
      </w:r>
      <w:r>
        <w:rPr>
          <w:b/>
          <w:bCs/>
          <w:color w:val="auto"/>
        </w:rPr>
        <w:t>stock event</w:t>
      </w:r>
      <w:r>
        <w:rPr>
          <w:color w:val="auto"/>
        </w:rPr>
        <w:t>, and the stock events together form the single history of stock across all systems.</w:t>
      </w:r>
      <w:bookmarkStart w:id="35" w:name="_GoBack"/>
      <w:bookmarkEnd w:id="35"/>
    </w:p>
    <w:p w14:paraId="163F70FF">
      <w:pPr>
        <w:pStyle w:val="3"/>
        <w:rPr>
          <w:color w:val="auto"/>
        </w:rPr>
      </w:pPr>
      <w:r>
        <w:rPr>
          <w:color w:val="auto"/>
        </w:rPr>
        <w:t xml:space="preserve">On the online side, each </w:t>
      </w:r>
      <w:r>
        <w:rPr>
          <w:b/>
          <w:bCs/>
          <w:color w:val="auto"/>
        </w:rPr>
        <w:t>product</w:t>
      </w:r>
      <w:r>
        <w:rPr>
          <w:color w:val="auto"/>
        </w:rPr>
        <w:t xml:space="preserve"> has one </w:t>
      </w:r>
      <w:r>
        <w:rPr>
          <w:b/>
          <w:bCs/>
          <w:color w:val="auto"/>
        </w:rPr>
        <w:t>website number</w:t>
      </w:r>
      <w:r>
        <w:rPr>
          <w:color w:val="auto"/>
        </w:rPr>
        <w:t xml:space="preserve">, the combined quantity the website shows. A </w:t>
      </w:r>
      <w:r>
        <w:rPr>
          <w:b/>
          <w:bCs/>
          <w:color w:val="auto"/>
        </w:rPr>
        <w:t>sync</w:t>
      </w:r>
      <w:r>
        <w:rPr>
          <w:color w:val="auto"/>
        </w:rPr>
        <w:t xml:space="preserve"> replaces the website numbers with the real shelf totals. Between syncs the website number only goes down when the website itself sells something. We call a website number </w:t>
      </w:r>
      <w:r>
        <w:rPr>
          <w:b/>
          <w:bCs/>
          <w:color w:val="auto"/>
        </w:rPr>
        <w:t>stale</w:t>
      </w:r>
      <w:r>
        <w:rPr>
          <w:color w:val="auto"/>
        </w:rPr>
        <w:t xml:space="preserve"> when it differs from the real combined shelf stock. A bag item is </w:t>
      </w:r>
      <w:r>
        <w:rPr>
          <w:b/>
          <w:bCs/>
          <w:color w:val="auto"/>
        </w:rPr>
        <w:t>blocked at checkout</w:t>
      </w:r>
      <w:r>
        <w:rPr>
          <w:color w:val="auto"/>
        </w:rPr>
        <w:t xml:space="preserve"> when the website showed it as in stock but no single store could supply it.</w:t>
      </w:r>
    </w:p>
    <w:p w14:paraId="1ADEB012">
      <w:pPr>
        <w:pStyle w:val="3"/>
        <w:rPr>
          <w:color w:val="auto"/>
        </w:rPr>
      </w:pPr>
      <w:r>
        <w:rPr>
          <w:color w:val="auto"/>
        </w:rPr>
        <w:t xml:space="preserve">An online order is collected at one </w:t>
      </w:r>
      <w:r>
        <w:rPr>
          <w:b/>
          <w:bCs/>
          <w:color w:val="auto"/>
        </w:rPr>
        <w:t>pickup store</w:t>
      </w:r>
      <w:r>
        <w:rPr>
          <w:color w:val="auto"/>
        </w:rPr>
        <w:t xml:space="preserve"> that the customer chooses. If an item has to come from another store, it is transferred. Figure 3 shows the life cycle of an order line. While a line is in transit it belongs to no store, so store totals leave it out.</w:t>
      </w:r>
    </w:p>
    <w:tbl>
      <w:tblPr>
        <w:tblStyle w:val="22"/>
        <w:tblW w:w="5000" w:type="pct"/>
        <w:tblInd w:w="0" w:type="dxa"/>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shd w:val="clear" w:color="auto" w:fill="F5F5F5"/>
        <w:tblLayout w:type="fixed"/>
        <w:tblCellMar>
          <w:top w:w="0" w:type="dxa"/>
          <w:left w:w="108" w:type="dxa"/>
          <w:bottom w:w="0" w:type="dxa"/>
          <w:right w:w="108" w:type="dxa"/>
        </w:tblCellMar>
      </w:tblPr>
      <w:tblGrid>
        <w:gridCol w:w="9243"/>
      </w:tblGrid>
      <w:tr w14:paraId="0D5580D9">
        <w:tblPrEx>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tblCellMar>
            <w:top w:w="0" w:type="dxa"/>
            <w:left w:w="108" w:type="dxa"/>
            <w:bottom w:w="0" w:type="dxa"/>
            <w:right w:w="108" w:type="dxa"/>
          </w:tblCellMar>
        </w:tblPrEx>
        <w:trPr>
          <w:cantSplit/>
          <w:trHeight w:val="3000" w:hRule="exact"/>
        </w:trPr>
        <w:tc>
          <w:tcPr>
            <w:tcW w:w="9243" w:type="dxa"/>
            <w:shd w:val="clear" w:color="auto" w:fill="F5F5F5"/>
            <w:vAlign w:val="center"/>
          </w:tcPr>
          <w:p w14:paraId="027CEB24">
            <w:pPr>
              <w:pStyle w:val="57"/>
              <w:rPr>
                <w:color w:val="auto"/>
              </w:rPr>
            </w:pPr>
            <w:r>
              <w:rPr>
                <w:color w:val="auto"/>
              </w:rPr>
              <w:t>[Figure 3 — insert here]</w:t>
            </w:r>
          </w:p>
        </w:tc>
      </w:tr>
    </w:tbl>
    <w:p w14:paraId="6C155650">
      <w:pPr>
        <w:pStyle w:val="57"/>
        <w:rPr>
          <w:color w:val="auto"/>
        </w:rPr>
      </w:pPr>
    </w:p>
    <w:p w14:paraId="099D289C">
      <w:pPr>
        <w:pStyle w:val="58"/>
        <w:rPr>
          <w:color w:val="auto"/>
        </w:rPr>
      </w:pPr>
      <w:r>
        <w:rPr>
          <w:color w:val="auto"/>
        </w:rPr>
        <w:t xml:space="preserve">TODO: Order line life cycle (held → in transit → arrived → collected, or cancelled). Mermaid state diagram in </w:t>
      </w:r>
      <w:r>
        <w:rPr>
          <w:rStyle w:val="53"/>
          <w:color w:val="auto"/>
        </w:rPr>
        <w:t>docs/Architecture_and_Data_Model.md</w:t>
      </w:r>
      <w:r>
        <w:rPr>
          <w:color w:val="auto"/>
        </w:rPr>
        <w:t xml:space="preserve"> §4.5.</w:t>
      </w:r>
    </w:p>
    <w:bookmarkEnd w:id="9"/>
    <w:p w14:paraId="6D2BB1B9">
      <w:pPr>
        <w:pStyle w:val="4"/>
        <w:rPr>
          <w:color w:val="auto"/>
        </w:rPr>
      </w:pPr>
      <w:bookmarkStart w:id="10" w:name="_Toc242203703"/>
      <w:bookmarkStart w:id="11" w:name="logical-data-model-of-data-entities"/>
      <w:r>
        <w:rPr>
          <w:color w:val="auto"/>
        </w:rPr>
        <w:t>2.3 Logical Data Model of Data Entities</w:t>
      </w:r>
      <w:bookmarkEnd w:id="10"/>
    </w:p>
    <w:p w14:paraId="404E0A3B">
      <w:pPr>
        <w:pStyle w:val="5"/>
        <w:rPr>
          <w:color w:val="auto"/>
        </w:rPr>
      </w:pPr>
      <w:bookmarkStart w:id="12" w:name="source-systems"/>
      <w:r>
        <w:rPr>
          <w:color w:val="auto"/>
        </w:rPr>
        <w:t>Source systems</w:t>
      </w:r>
    </w:p>
    <w:tbl>
      <w:tblPr>
        <w:tblStyle w:val="22"/>
        <w:tblW w:w="5000" w:type="pct"/>
        <w:tblInd w:w="0" w:type="dxa"/>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shd w:val="clear" w:color="auto" w:fill="F5F5F5"/>
        <w:tblLayout w:type="fixed"/>
        <w:tblCellMar>
          <w:top w:w="0" w:type="dxa"/>
          <w:left w:w="108" w:type="dxa"/>
          <w:bottom w:w="0" w:type="dxa"/>
          <w:right w:w="108" w:type="dxa"/>
        </w:tblCellMar>
      </w:tblPr>
      <w:tblGrid>
        <w:gridCol w:w="9243"/>
      </w:tblGrid>
      <w:tr w14:paraId="5B698C24">
        <w:tblPrEx>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shd w:val="clear" w:color="auto" w:fill="F5F5F5"/>
          <w:tblCellMar>
            <w:top w:w="0" w:type="dxa"/>
            <w:left w:w="108" w:type="dxa"/>
            <w:bottom w:w="0" w:type="dxa"/>
            <w:right w:w="108" w:type="dxa"/>
          </w:tblCellMar>
        </w:tblPrEx>
        <w:trPr>
          <w:cantSplit/>
          <w:trHeight w:val="3000" w:hRule="exact"/>
        </w:trPr>
        <w:tc>
          <w:tcPr>
            <w:tcW w:w="9243" w:type="dxa"/>
            <w:shd w:val="clear" w:color="auto" w:fill="F5F5F5"/>
            <w:vAlign w:val="center"/>
          </w:tcPr>
          <w:p w14:paraId="2D922A32">
            <w:pPr>
              <w:pStyle w:val="57"/>
              <w:rPr>
                <w:color w:val="auto"/>
              </w:rPr>
            </w:pPr>
            <w:r>
              <w:rPr>
                <w:color w:val="auto"/>
              </w:rPr>
              <w:t>[Figure 4 — insert here]</w:t>
            </w:r>
          </w:p>
        </w:tc>
      </w:tr>
    </w:tbl>
    <w:p w14:paraId="0CEB5560">
      <w:pPr>
        <w:pStyle w:val="57"/>
        <w:rPr>
          <w:color w:val="auto"/>
        </w:rPr>
      </w:pPr>
    </w:p>
    <w:p w14:paraId="3B36F27B">
      <w:pPr>
        <w:pStyle w:val="58"/>
        <w:rPr>
          <w:color w:val="auto"/>
        </w:rPr>
      </w:pPr>
      <w:r>
        <w:rPr>
          <w:color w:val="auto"/>
        </w:rPr>
        <w:t xml:space="preserve">TODO: ER diagrams of the three source schemas. CloudBeaver: right-click </w:t>
      </w:r>
      <w:r>
        <w:rPr>
          <w:rStyle w:val="53"/>
          <w:color w:val="auto"/>
        </w:rPr>
        <w:t>store_ops</w:t>
      </w:r>
      <w:r>
        <w:rPr>
          <w:color w:val="auto"/>
        </w:rPr>
        <w:t xml:space="preserve">, </w:t>
      </w:r>
      <w:r>
        <w:rPr>
          <w:rStyle w:val="53"/>
          <w:color w:val="auto"/>
        </w:rPr>
        <w:t>supply</w:t>
      </w:r>
      <w:r>
        <w:rPr>
          <w:color w:val="auto"/>
        </w:rPr>
        <w:t xml:space="preserve">, </w:t>
      </w:r>
      <w:r>
        <w:rPr>
          <w:rStyle w:val="53"/>
          <w:color w:val="auto"/>
        </w:rPr>
        <w:t>online</w:t>
      </w:r>
      <w:r>
        <w:rPr>
          <w:color w:val="auto"/>
        </w:rPr>
        <w:t xml:space="preserve"> → View Diagram.</w:t>
      </w:r>
    </w:p>
    <w:p w14:paraId="460131C6">
      <w:pPr>
        <w:pStyle w:val="3"/>
        <w:rPr>
          <w:color w:val="auto"/>
        </w:rPr>
      </w:pPr>
      <w:r>
        <w:rPr>
          <w:color w:val="auto"/>
        </w:rPr>
        <w:t xml:space="preserve">The </w:t>
      </w:r>
      <w:r>
        <w:rPr>
          <w:b/>
          <w:bCs/>
          <w:color w:val="auto"/>
        </w:rPr>
        <w:t>store system</w:t>
      </w:r>
      <w:r>
        <w:rPr>
          <w:color w:val="auto"/>
        </w:rPr>
        <w:t xml:space="preserve"> holds the store and product master data, live stock per store and product, till receipts, and reservations. A receipt is refused as a whole if any line is short of stock. Each reservation records the store supplying the units, the pickup store and the time of each step.</w:t>
      </w:r>
    </w:p>
    <w:p w14:paraId="36DF51A5">
      <w:pPr>
        <w:pStyle w:val="3"/>
        <w:rPr>
          <w:color w:val="auto"/>
        </w:rPr>
      </w:pPr>
      <w:r>
        <w:rPr>
          <w:color w:val="auto"/>
        </w:rPr>
        <w:t xml:space="preserve">The </w:t>
      </w:r>
      <w:r>
        <w:rPr>
          <w:b/>
          <w:bCs/>
          <w:color w:val="auto"/>
        </w:rPr>
        <w:t>delivery system</w:t>
      </w:r>
      <w:r>
        <w:rPr>
          <w:color w:val="auto"/>
        </w:rPr>
        <w:t xml:space="preserve"> holds delivery locations, supplier items with their units per carton, and delivery dockets. Quantities are in cartons and times are in UTC with no time zone. When a delivery is recorded, it converts cartons to units and adds them to the store’s shelf.</w:t>
      </w:r>
    </w:p>
    <w:p w14:paraId="304C032E">
      <w:pPr>
        <w:pStyle w:val="3"/>
        <w:rPr>
          <w:color w:val="auto"/>
        </w:rPr>
      </w:pPr>
      <w:r>
        <w:rPr>
          <w:color w:val="auto"/>
        </w:rPr>
        <w:t xml:space="preserve">The </w:t>
      </w:r>
      <w:r>
        <w:rPr>
          <w:b/>
          <w:bCs/>
          <w:color w:val="auto"/>
        </w:rPr>
        <w:t>online store</w:t>
      </w:r>
      <w:r>
        <w:rPr>
          <w:color w:val="auto"/>
        </w:rPr>
        <w:t xml:space="preserve"> holds the web catalogue, the website number for each product, collection points, the customer’s bag, each checkout attempt and paid orders. A customer can only add an item to the bag up to the website number, and adding holds nothing. At checkout, before payment, the store system checks that one store can supply each item, starting with the pickup store, and locks that stock. If any item is unavailable the checkout is blocked and nothing is charged. Otherwise the order is paid, stock is reserved and the website number drops at once.</w:t>
      </w:r>
    </w:p>
    <w:p w14:paraId="6F22C630">
      <w:pPr>
        <w:pStyle w:val="3"/>
        <w:rPr>
          <w:color w:val="auto"/>
        </w:rPr>
      </w:pPr>
      <w:r>
        <w:rPr>
          <w:color w:val="auto"/>
        </w:rPr>
        <w:t xml:space="preserve">Each system uses its own identifiers. The same Parramatta store is </w:t>
      </w:r>
      <w:r>
        <w:rPr>
          <w:rStyle w:val="53"/>
          <w:color w:val="auto"/>
        </w:rPr>
        <w:t>101</w:t>
      </w:r>
      <w:r>
        <w:rPr>
          <w:color w:val="auto"/>
        </w:rPr>
        <w:t xml:space="preserve"> in the store system, </w:t>
      </w:r>
      <w:r>
        <w:rPr>
          <w:rStyle w:val="53"/>
          <w:color w:val="auto"/>
        </w:rPr>
        <w:t>NSW-PARRA</w:t>
      </w:r>
      <w:r>
        <w:rPr>
          <w:color w:val="auto"/>
        </w:rPr>
        <w:t xml:space="preserve"> in the delivery system and </w:t>
      </w:r>
      <w:r>
        <w:rPr>
          <w:rStyle w:val="53"/>
          <w:color w:val="auto"/>
        </w:rPr>
        <w:t>CP-PARRAMATTA</w:t>
      </w:r>
      <w:r>
        <w:rPr>
          <w:color w:val="auto"/>
        </w:rPr>
        <w:t xml:space="preserve"> online. The same bag of dog food is a 13-digit barcode, a supplier SKU and a web SKU.</w:t>
      </w:r>
    </w:p>
    <w:tbl>
      <w:tblPr>
        <w:tblStyle w:val="22"/>
        <w:tblW w:w="5000" w:type="pct"/>
        <w:tblInd w:w="0" w:type="dxa"/>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shd w:val="clear" w:color="auto" w:fill="F5F5F5"/>
        <w:tblLayout w:type="fixed"/>
        <w:tblCellMar>
          <w:top w:w="0" w:type="dxa"/>
          <w:left w:w="108" w:type="dxa"/>
          <w:bottom w:w="0" w:type="dxa"/>
          <w:right w:w="108" w:type="dxa"/>
        </w:tblCellMar>
      </w:tblPr>
      <w:tblGrid>
        <w:gridCol w:w="9243"/>
      </w:tblGrid>
      <w:tr w14:paraId="6B15BD9D">
        <w:tblPrEx>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shd w:val="clear" w:color="auto" w:fill="F5F5F5"/>
          <w:tblCellMar>
            <w:top w:w="0" w:type="dxa"/>
            <w:left w:w="108" w:type="dxa"/>
            <w:bottom w:w="0" w:type="dxa"/>
            <w:right w:w="108" w:type="dxa"/>
          </w:tblCellMar>
        </w:tblPrEx>
        <w:trPr>
          <w:cantSplit/>
          <w:trHeight w:val="3000" w:hRule="exact"/>
        </w:trPr>
        <w:tc>
          <w:tcPr>
            <w:tcW w:w="9243" w:type="dxa"/>
            <w:shd w:val="clear" w:color="auto" w:fill="F5F5F5"/>
            <w:vAlign w:val="center"/>
          </w:tcPr>
          <w:p w14:paraId="3BB00753">
            <w:pPr>
              <w:pStyle w:val="57"/>
              <w:rPr>
                <w:color w:val="auto"/>
              </w:rPr>
            </w:pPr>
            <w:r>
              <w:rPr>
                <w:color w:val="auto"/>
              </w:rPr>
              <w:t>[Figure 5 — insert here]</w:t>
            </w:r>
          </w:p>
        </w:tc>
      </w:tr>
    </w:tbl>
    <w:p w14:paraId="241A0E69">
      <w:pPr>
        <w:pStyle w:val="57"/>
        <w:rPr>
          <w:color w:val="auto"/>
        </w:rPr>
      </w:pPr>
    </w:p>
    <w:p w14:paraId="16A78613">
      <w:pPr>
        <w:pStyle w:val="58"/>
        <w:rPr>
          <w:color w:val="auto"/>
        </w:rPr>
      </w:pPr>
      <w:r>
        <w:rPr>
          <w:color w:val="auto"/>
        </w:rPr>
        <w:t>TODO: The same stores and products in each system. Dashboard → Integration &amp; Quality → Code mappings tab.</w:t>
      </w:r>
    </w:p>
    <w:bookmarkEnd w:id="12"/>
    <w:p w14:paraId="33CF35A9">
      <w:pPr>
        <w:pStyle w:val="5"/>
        <w:rPr>
          <w:color w:val="auto"/>
        </w:rPr>
      </w:pPr>
      <w:bookmarkStart w:id="13" w:name="etl-layer"/>
      <w:r>
        <w:rPr>
          <w:color w:val="auto"/>
        </w:rPr>
        <w:t>ETL layer</w:t>
      </w:r>
    </w:p>
    <w:p w14:paraId="2F4A550F">
      <w:pPr>
        <w:pStyle w:val="28"/>
        <w:rPr>
          <w:color w:val="auto"/>
        </w:rPr>
      </w:pPr>
      <w:r>
        <w:rPr>
          <w:color w:val="auto"/>
        </w:rPr>
        <w:t>The ETL works in four steps.</w:t>
      </w:r>
    </w:p>
    <w:p w14:paraId="51ADF0EC">
      <w:pPr>
        <w:pStyle w:val="3"/>
        <w:rPr>
          <w:color w:val="auto"/>
        </w:rPr>
      </w:pPr>
      <w:r>
        <w:rPr>
          <w:b/>
          <w:bCs/>
          <w:color w:val="auto"/>
        </w:rPr>
        <w:t>Extract.</w:t>
      </w:r>
      <w:r>
        <w:rPr>
          <w:color w:val="auto"/>
        </w:rPr>
        <w:t xml:space="preserve"> Triggers copy each new source record, unchanged and in source format, into a staging table. Each staged row gets a unique source reference such as </w:t>
      </w:r>
      <w:r>
        <w:rPr>
          <w:rStyle w:val="53"/>
          <w:color w:val="auto"/>
        </w:rPr>
        <w:t>SUPPLY:delivery 32 line 1</w:t>
      </w:r>
      <w:r>
        <w:rPr>
          <w:color w:val="auto"/>
        </w:rPr>
        <w:t>.</w:t>
      </w:r>
    </w:p>
    <w:p w14:paraId="19006AB9">
      <w:pPr>
        <w:pStyle w:val="3"/>
        <w:rPr>
          <w:color w:val="auto"/>
        </w:rPr>
      </w:pPr>
      <w:r>
        <w:rPr>
          <w:b/>
          <w:bCs/>
          <w:color w:val="auto"/>
        </w:rPr>
        <w:t>Transform.</w:t>
      </w:r>
      <w:r>
        <w:rPr>
          <w:color w:val="auto"/>
        </w:rPr>
        <w:t xml:space="preserve"> A view maps source codes to the warehouse’s own codes, converts cartons to units and UTC to a Sydney business date, and assigns each row an event type with signed quantities.</w:t>
      </w:r>
    </w:p>
    <w:p w14:paraId="400AFEA5">
      <w:pPr>
        <w:pStyle w:val="3"/>
        <w:rPr>
          <w:color w:val="auto"/>
        </w:rPr>
      </w:pPr>
      <w:r>
        <w:rPr>
          <w:b/>
          <w:bCs/>
          <w:color w:val="auto"/>
        </w:rPr>
        <w:t>Validate.</w:t>
      </w:r>
      <w:r>
        <w:rPr>
          <w:color w:val="auto"/>
        </w:rPr>
        <w:t xml:space="preserve"> A row is rejected with a reason if its code has no approved mapping, its quantity is not positive or its date is invalid. Rejected rows stay in staging and are retried on every run, so they load as soon as the mapping is approved.</w:t>
      </w:r>
    </w:p>
    <w:p w14:paraId="00D7C5B4">
      <w:pPr>
        <w:pStyle w:val="3"/>
        <w:rPr>
          <w:color w:val="auto"/>
        </w:rPr>
      </w:pPr>
      <w:r>
        <w:rPr>
          <w:b/>
          <w:bCs/>
          <w:color w:val="auto"/>
        </w:rPr>
        <w:t>Load.</w:t>
      </w:r>
      <w:r>
        <w:rPr>
          <w:color w:val="auto"/>
        </w:rPr>
        <w:t xml:space="preserve"> Valid rows are inserted into the fact table, and each run is logged with its counts.</w:t>
      </w:r>
    </w:p>
    <w:p w14:paraId="70C841FC">
      <w:pPr>
        <w:pStyle w:val="3"/>
        <w:rPr>
          <w:color w:val="auto"/>
        </w:rPr>
      </w:pPr>
      <w:r>
        <w:rPr>
          <w:color w:val="auto"/>
        </w:rPr>
        <w:t>Codes are matched only through cross-reference tables that a data steward approves. Matching by product name is never attempted, because names differ between systems and a wrong match would corrupt the stock history without anyone noticing.</w:t>
      </w:r>
    </w:p>
    <w:bookmarkEnd w:id="13"/>
    <w:p w14:paraId="4D985835">
      <w:pPr>
        <w:pStyle w:val="5"/>
        <w:rPr>
          <w:color w:val="auto"/>
        </w:rPr>
      </w:pPr>
      <w:bookmarkStart w:id="14" w:name="data-warehouse"/>
      <w:r>
        <w:rPr>
          <w:color w:val="auto"/>
        </w:rPr>
        <w:t>Data warehouse</w:t>
      </w:r>
    </w:p>
    <w:tbl>
      <w:tblPr>
        <w:tblStyle w:val="22"/>
        <w:tblW w:w="5000" w:type="pct"/>
        <w:tblInd w:w="0" w:type="dxa"/>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shd w:val="clear" w:color="auto" w:fill="F5F5F5"/>
        <w:tblLayout w:type="fixed"/>
        <w:tblCellMar>
          <w:top w:w="0" w:type="dxa"/>
          <w:left w:w="108" w:type="dxa"/>
          <w:bottom w:w="0" w:type="dxa"/>
          <w:right w:w="108" w:type="dxa"/>
        </w:tblCellMar>
      </w:tblPr>
      <w:tblGrid>
        <w:gridCol w:w="9243"/>
      </w:tblGrid>
      <w:tr w14:paraId="51FCA33D">
        <w:tblPrEx>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shd w:val="clear" w:color="auto" w:fill="F5F5F5"/>
          <w:tblCellMar>
            <w:top w:w="0" w:type="dxa"/>
            <w:left w:w="108" w:type="dxa"/>
            <w:bottom w:w="0" w:type="dxa"/>
            <w:right w:w="108" w:type="dxa"/>
          </w:tblCellMar>
        </w:tblPrEx>
        <w:trPr>
          <w:cantSplit/>
          <w:trHeight w:val="3000" w:hRule="exact"/>
        </w:trPr>
        <w:tc>
          <w:tcPr>
            <w:tcW w:w="9243" w:type="dxa"/>
            <w:shd w:val="clear" w:color="auto" w:fill="F5F5F5"/>
            <w:vAlign w:val="center"/>
          </w:tcPr>
          <w:p w14:paraId="272F05C2">
            <w:pPr>
              <w:pStyle w:val="57"/>
              <w:rPr>
                <w:color w:val="auto"/>
              </w:rPr>
            </w:pPr>
            <w:r>
              <w:rPr>
                <w:color w:val="auto"/>
              </w:rPr>
              <w:t>[Figure 6 — insert here]</w:t>
            </w:r>
          </w:p>
        </w:tc>
      </w:tr>
    </w:tbl>
    <w:p w14:paraId="687CD1C7">
      <w:pPr>
        <w:pStyle w:val="57"/>
        <w:rPr>
          <w:color w:val="auto"/>
        </w:rPr>
      </w:pPr>
    </w:p>
    <w:p w14:paraId="1788A80C">
      <w:pPr>
        <w:pStyle w:val="58"/>
        <w:rPr>
          <w:color w:val="auto"/>
        </w:rPr>
      </w:pPr>
      <w:r>
        <w:rPr>
          <w:color w:val="auto"/>
        </w:rPr>
        <w:t xml:space="preserve">TODO: Star schema of </w:t>
      </w:r>
      <w:r>
        <w:rPr>
          <w:rStyle w:val="53"/>
          <w:color w:val="auto"/>
        </w:rPr>
        <w:t>dw</w:t>
      </w:r>
      <w:r>
        <w:rPr>
          <w:color w:val="auto"/>
        </w:rPr>
        <w:t xml:space="preserve">. Mermaid diagram in </w:t>
      </w:r>
      <w:r>
        <w:rPr>
          <w:rStyle w:val="53"/>
          <w:color w:val="auto"/>
        </w:rPr>
        <w:t>docs/Architecture_and_Data_Model.md</w:t>
      </w:r>
      <w:r>
        <w:rPr>
          <w:color w:val="auto"/>
        </w:rPr>
        <w:t xml:space="preserve"> §6, or CloudBeaver diagram of </w:t>
      </w:r>
      <w:r>
        <w:rPr>
          <w:rStyle w:val="53"/>
          <w:color w:val="auto"/>
        </w:rPr>
        <w:t>dw</w:t>
      </w:r>
      <w:r>
        <w:rPr>
          <w:color w:val="auto"/>
        </w:rPr>
        <w:t>.</w:t>
      </w:r>
    </w:p>
    <w:p w14:paraId="70A38549">
      <w:pPr>
        <w:pStyle w:val="3"/>
        <w:rPr>
          <w:color w:val="auto"/>
        </w:rPr>
      </w:pPr>
      <w:r>
        <w:rPr>
          <w:color w:val="auto"/>
        </w:rPr>
        <w:t xml:space="preserve">The warehouse is a star schema with one fact table, </w:t>
      </w:r>
      <w:r>
        <w:rPr>
          <w:rStyle w:val="53"/>
          <w:color w:val="auto"/>
        </w:rPr>
        <w:t>fact_stock_event</w:t>
      </w:r>
      <w:r>
        <w:rPr>
          <w:color w:val="auto"/>
        </w:rPr>
        <w:t>, and three dimensions: product, store and date. The grain is one stock change for one product at one store. Current stock is the sum of the signed changes, so the same table also serves as a full audit trail. Table 1 shows how each event type changes stock.</w:t>
      </w:r>
    </w:p>
    <w:p w14:paraId="4C3D32D0">
      <w:pPr>
        <w:pStyle w:val="3"/>
        <w:rPr>
          <w:color w:val="auto"/>
        </w:rPr>
      </w:pPr>
      <w:r>
        <w:rPr>
          <w:b/>
          <w:bCs/>
          <w:color w:val="auto"/>
        </w:rPr>
        <w:t>Table 1. Effect of each event type on stock</w:t>
      </w:r>
    </w:p>
    <w:tbl>
      <w:tblPr>
        <w:tblStyle w:val="46"/>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40" w:type="dxa"/>
          <w:left w:w="108" w:type="dxa"/>
          <w:bottom w:w="40" w:type="dxa"/>
          <w:right w:w="108" w:type="dxa"/>
        </w:tblCellMar>
      </w:tblPr>
      <w:tblGrid>
        <w:gridCol w:w="5823"/>
        <w:gridCol w:w="1337"/>
        <w:gridCol w:w="2083"/>
      </w:tblGrid>
      <w:tr w14:paraId="4860FB4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40" w:type="dxa"/>
            <w:left w:w="108" w:type="dxa"/>
            <w:bottom w:w="40" w:type="dxa"/>
            <w:right w:w="108" w:type="dxa"/>
          </w:tblCellMar>
        </w:tblPrEx>
        <w:trPr>
          <w:tblHeader/>
        </w:trPr>
        <w:tc>
          <w:tcPr>
            <w:tcW w:w="3150" w:type="pct"/>
            <w:tcBorders>
              <w:bottom w:val="nil"/>
            </w:tcBorders>
            <w:shd w:val="clear" w:color="auto" w:fill="DCE6F0"/>
            <w:vAlign w:val="bottom"/>
          </w:tcPr>
          <w:p w14:paraId="62D3219D">
            <w:pPr>
              <w:pStyle w:val="29"/>
              <w:spacing w:after="40"/>
              <w:rPr>
                <w:b/>
                <w:color w:val="auto"/>
                <w:sz w:val="20"/>
              </w:rPr>
            </w:pPr>
            <w:r>
              <w:rPr>
                <w:b/>
                <w:color w:val="auto"/>
                <w:sz w:val="20"/>
              </w:rPr>
              <w:t>Event type</w:t>
            </w:r>
          </w:p>
        </w:tc>
        <w:tc>
          <w:tcPr>
            <w:tcW w:w="723" w:type="pct"/>
            <w:tcBorders>
              <w:bottom w:val="nil"/>
            </w:tcBorders>
            <w:shd w:val="clear" w:color="auto" w:fill="DCE6F0"/>
            <w:vAlign w:val="bottom"/>
          </w:tcPr>
          <w:p w14:paraId="58BD6BE2">
            <w:pPr>
              <w:pStyle w:val="29"/>
              <w:spacing w:after="40"/>
              <w:jc w:val="right"/>
              <w:rPr>
                <w:b/>
                <w:color w:val="auto"/>
                <w:sz w:val="20"/>
              </w:rPr>
            </w:pPr>
            <w:r>
              <w:rPr>
                <w:b/>
                <w:color w:val="auto"/>
                <w:sz w:val="20"/>
              </w:rPr>
              <w:t>Shelf</w:t>
            </w:r>
          </w:p>
        </w:tc>
        <w:tc>
          <w:tcPr>
            <w:tcW w:w="1127" w:type="pct"/>
            <w:tcBorders>
              <w:bottom w:val="nil"/>
            </w:tcBorders>
            <w:shd w:val="clear" w:color="auto" w:fill="DCE6F0"/>
            <w:vAlign w:val="bottom"/>
          </w:tcPr>
          <w:p w14:paraId="75E0B3DC">
            <w:pPr>
              <w:pStyle w:val="29"/>
              <w:spacing w:after="40"/>
              <w:jc w:val="right"/>
              <w:rPr>
                <w:b/>
                <w:color w:val="auto"/>
                <w:sz w:val="20"/>
              </w:rPr>
            </w:pPr>
            <w:r>
              <w:rPr>
                <w:b/>
                <w:color w:val="auto"/>
                <w:sz w:val="20"/>
              </w:rPr>
              <w:t>Reserved</w:t>
            </w:r>
          </w:p>
        </w:tc>
      </w:tr>
      <w:tr w14:paraId="601F900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40" w:type="dxa"/>
            <w:left w:w="108" w:type="dxa"/>
            <w:bottom w:w="40" w:type="dxa"/>
            <w:right w:w="108" w:type="dxa"/>
          </w:tblCellMar>
        </w:tblPrEx>
        <w:tc>
          <w:tcPr>
            <w:tcW w:w="3150" w:type="pct"/>
          </w:tcPr>
          <w:p w14:paraId="4B95A6E4">
            <w:pPr>
              <w:pStyle w:val="29"/>
              <w:spacing w:after="40"/>
              <w:rPr>
                <w:color w:val="auto"/>
                <w:sz w:val="20"/>
              </w:rPr>
            </w:pPr>
            <w:r>
              <w:rPr>
                <w:color w:val="auto"/>
                <w:sz w:val="20"/>
              </w:rPr>
              <w:t>Store sale</w:t>
            </w:r>
          </w:p>
        </w:tc>
        <w:tc>
          <w:tcPr>
            <w:tcW w:w="723" w:type="pct"/>
          </w:tcPr>
          <w:p w14:paraId="47306493">
            <w:pPr>
              <w:pStyle w:val="29"/>
              <w:spacing w:after="40"/>
              <w:jc w:val="right"/>
              <w:rPr>
                <w:color w:val="auto"/>
                <w:sz w:val="20"/>
              </w:rPr>
            </w:pPr>
            <w:r>
              <w:rPr>
                <w:color w:val="auto"/>
                <w:sz w:val="20"/>
              </w:rPr>
              <w:t>−</w:t>
            </w:r>
          </w:p>
        </w:tc>
        <w:tc>
          <w:tcPr>
            <w:tcW w:w="1127" w:type="pct"/>
          </w:tcPr>
          <w:p w14:paraId="268F3CE3">
            <w:pPr>
              <w:pStyle w:val="29"/>
              <w:spacing w:after="40"/>
              <w:jc w:val="right"/>
              <w:rPr>
                <w:color w:val="auto"/>
                <w:sz w:val="20"/>
              </w:rPr>
            </w:pPr>
            <w:r>
              <w:rPr>
                <w:color w:val="auto"/>
                <w:sz w:val="20"/>
              </w:rPr>
              <w:t>0</w:t>
            </w:r>
          </w:p>
        </w:tc>
      </w:tr>
      <w:tr w14:paraId="01EC6FD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40" w:type="dxa"/>
            <w:left w:w="108" w:type="dxa"/>
            <w:bottom w:w="40" w:type="dxa"/>
            <w:right w:w="108" w:type="dxa"/>
          </w:tblCellMar>
        </w:tblPrEx>
        <w:tc>
          <w:tcPr>
            <w:tcW w:w="3150" w:type="pct"/>
          </w:tcPr>
          <w:p w14:paraId="35E45167">
            <w:pPr>
              <w:pStyle w:val="29"/>
              <w:spacing w:after="40"/>
              <w:rPr>
                <w:color w:val="auto"/>
                <w:sz w:val="20"/>
              </w:rPr>
            </w:pPr>
            <w:r>
              <w:rPr>
                <w:color w:val="auto"/>
                <w:sz w:val="20"/>
              </w:rPr>
              <w:t>Delivery</w:t>
            </w:r>
          </w:p>
        </w:tc>
        <w:tc>
          <w:tcPr>
            <w:tcW w:w="723" w:type="pct"/>
          </w:tcPr>
          <w:p w14:paraId="1313AA7F">
            <w:pPr>
              <w:pStyle w:val="29"/>
              <w:spacing w:after="40"/>
              <w:jc w:val="right"/>
              <w:rPr>
                <w:color w:val="auto"/>
                <w:sz w:val="20"/>
              </w:rPr>
            </w:pPr>
            <w:r>
              <w:rPr>
                <w:color w:val="auto"/>
                <w:sz w:val="20"/>
              </w:rPr>
              <w:t>+</w:t>
            </w:r>
          </w:p>
        </w:tc>
        <w:tc>
          <w:tcPr>
            <w:tcW w:w="1127" w:type="pct"/>
          </w:tcPr>
          <w:p w14:paraId="748087F3">
            <w:pPr>
              <w:pStyle w:val="29"/>
              <w:spacing w:after="40"/>
              <w:jc w:val="right"/>
              <w:rPr>
                <w:color w:val="auto"/>
                <w:sz w:val="20"/>
              </w:rPr>
            </w:pPr>
            <w:r>
              <w:rPr>
                <w:color w:val="auto"/>
                <w:sz w:val="20"/>
              </w:rPr>
              <w:t>0</w:t>
            </w:r>
          </w:p>
        </w:tc>
      </w:tr>
      <w:tr w14:paraId="5CD814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40" w:type="dxa"/>
            <w:left w:w="108" w:type="dxa"/>
            <w:bottom w:w="40" w:type="dxa"/>
            <w:right w:w="108" w:type="dxa"/>
          </w:tblCellMar>
        </w:tblPrEx>
        <w:tc>
          <w:tcPr>
            <w:tcW w:w="3150" w:type="pct"/>
          </w:tcPr>
          <w:p w14:paraId="668C2B0E">
            <w:pPr>
              <w:pStyle w:val="29"/>
              <w:spacing w:after="40"/>
              <w:rPr>
                <w:color w:val="auto"/>
                <w:sz w:val="20"/>
              </w:rPr>
            </w:pPr>
            <w:r>
              <w:rPr>
                <w:color w:val="auto"/>
                <w:sz w:val="20"/>
              </w:rPr>
              <w:t>Reservation (online order held)</w:t>
            </w:r>
          </w:p>
        </w:tc>
        <w:tc>
          <w:tcPr>
            <w:tcW w:w="723" w:type="pct"/>
          </w:tcPr>
          <w:p w14:paraId="2A5C93A7">
            <w:pPr>
              <w:pStyle w:val="29"/>
              <w:spacing w:after="40"/>
              <w:jc w:val="right"/>
              <w:rPr>
                <w:color w:val="auto"/>
                <w:sz w:val="20"/>
              </w:rPr>
            </w:pPr>
            <w:r>
              <w:rPr>
                <w:color w:val="auto"/>
                <w:sz w:val="20"/>
              </w:rPr>
              <w:t>−</w:t>
            </w:r>
          </w:p>
        </w:tc>
        <w:tc>
          <w:tcPr>
            <w:tcW w:w="1127" w:type="pct"/>
          </w:tcPr>
          <w:p w14:paraId="3C9936CC">
            <w:pPr>
              <w:pStyle w:val="29"/>
              <w:spacing w:after="40"/>
              <w:jc w:val="right"/>
              <w:rPr>
                <w:color w:val="auto"/>
                <w:sz w:val="20"/>
              </w:rPr>
            </w:pPr>
            <w:r>
              <w:rPr>
                <w:color w:val="auto"/>
                <w:sz w:val="20"/>
              </w:rPr>
              <w:t>+</w:t>
            </w:r>
          </w:p>
        </w:tc>
      </w:tr>
      <w:tr w14:paraId="130E583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40" w:type="dxa"/>
            <w:left w:w="108" w:type="dxa"/>
            <w:bottom w:w="40" w:type="dxa"/>
            <w:right w:w="108" w:type="dxa"/>
          </w:tblCellMar>
        </w:tblPrEx>
        <w:tc>
          <w:tcPr>
            <w:tcW w:w="3150" w:type="pct"/>
          </w:tcPr>
          <w:p w14:paraId="68A06E53">
            <w:pPr>
              <w:pStyle w:val="29"/>
              <w:spacing w:after="40"/>
              <w:rPr>
                <w:color w:val="auto"/>
                <w:sz w:val="20"/>
              </w:rPr>
            </w:pPr>
            <w:r>
              <w:rPr>
                <w:color w:val="auto"/>
                <w:sz w:val="20"/>
              </w:rPr>
              <w:t>Transfer out</w:t>
            </w:r>
          </w:p>
        </w:tc>
        <w:tc>
          <w:tcPr>
            <w:tcW w:w="723" w:type="pct"/>
          </w:tcPr>
          <w:p w14:paraId="6DB553EB">
            <w:pPr>
              <w:pStyle w:val="29"/>
              <w:spacing w:after="40"/>
              <w:jc w:val="right"/>
              <w:rPr>
                <w:color w:val="auto"/>
                <w:sz w:val="20"/>
              </w:rPr>
            </w:pPr>
            <w:r>
              <w:rPr>
                <w:color w:val="auto"/>
                <w:sz w:val="20"/>
              </w:rPr>
              <w:t>0</w:t>
            </w:r>
          </w:p>
        </w:tc>
        <w:tc>
          <w:tcPr>
            <w:tcW w:w="1127" w:type="pct"/>
          </w:tcPr>
          <w:p w14:paraId="6061628B">
            <w:pPr>
              <w:pStyle w:val="29"/>
              <w:spacing w:after="40"/>
              <w:jc w:val="right"/>
              <w:rPr>
                <w:color w:val="auto"/>
                <w:sz w:val="20"/>
              </w:rPr>
            </w:pPr>
            <w:r>
              <w:rPr>
                <w:color w:val="auto"/>
                <w:sz w:val="20"/>
              </w:rPr>
              <w:t>−</w:t>
            </w:r>
          </w:p>
        </w:tc>
      </w:tr>
      <w:tr w14:paraId="310A512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40" w:type="dxa"/>
            <w:left w:w="108" w:type="dxa"/>
            <w:bottom w:w="40" w:type="dxa"/>
            <w:right w:w="108" w:type="dxa"/>
          </w:tblCellMar>
        </w:tblPrEx>
        <w:tc>
          <w:tcPr>
            <w:tcW w:w="3150" w:type="pct"/>
          </w:tcPr>
          <w:p w14:paraId="285B4180">
            <w:pPr>
              <w:pStyle w:val="29"/>
              <w:spacing w:after="40"/>
              <w:rPr>
                <w:color w:val="auto"/>
                <w:sz w:val="20"/>
              </w:rPr>
            </w:pPr>
            <w:r>
              <w:rPr>
                <w:color w:val="auto"/>
                <w:sz w:val="20"/>
              </w:rPr>
              <w:t>Transfer in</w:t>
            </w:r>
          </w:p>
        </w:tc>
        <w:tc>
          <w:tcPr>
            <w:tcW w:w="723" w:type="pct"/>
          </w:tcPr>
          <w:p w14:paraId="4FEC8738">
            <w:pPr>
              <w:pStyle w:val="29"/>
              <w:spacing w:after="40"/>
              <w:jc w:val="right"/>
              <w:rPr>
                <w:color w:val="auto"/>
                <w:sz w:val="20"/>
              </w:rPr>
            </w:pPr>
            <w:r>
              <w:rPr>
                <w:color w:val="auto"/>
                <w:sz w:val="20"/>
              </w:rPr>
              <w:t>0</w:t>
            </w:r>
          </w:p>
        </w:tc>
        <w:tc>
          <w:tcPr>
            <w:tcW w:w="1127" w:type="pct"/>
          </w:tcPr>
          <w:p w14:paraId="400C4044">
            <w:pPr>
              <w:pStyle w:val="29"/>
              <w:spacing w:after="40"/>
              <w:jc w:val="right"/>
              <w:rPr>
                <w:color w:val="auto"/>
                <w:sz w:val="20"/>
              </w:rPr>
            </w:pPr>
            <w:r>
              <w:rPr>
                <w:color w:val="auto"/>
                <w:sz w:val="20"/>
              </w:rPr>
              <w:t>+</w:t>
            </w:r>
          </w:p>
        </w:tc>
      </w:tr>
      <w:tr w14:paraId="33E5FF8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40" w:type="dxa"/>
            <w:left w:w="108" w:type="dxa"/>
            <w:bottom w:w="40" w:type="dxa"/>
            <w:right w:w="108" w:type="dxa"/>
          </w:tblCellMar>
        </w:tblPrEx>
        <w:tc>
          <w:tcPr>
            <w:tcW w:w="3150" w:type="pct"/>
          </w:tcPr>
          <w:p w14:paraId="73D77CC9">
            <w:pPr>
              <w:pStyle w:val="29"/>
              <w:spacing w:after="40"/>
              <w:rPr>
                <w:color w:val="auto"/>
                <w:sz w:val="20"/>
              </w:rPr>
            </w:pPr>
            <w:r>
              <w:rPr>
                <w:color w:val="auto"/>
                <w:sz w:val="20"/>
              </w:rPr>
              <w:t>Collection</w:t>
            </w:r>
          </w:p>
        </w:tc>
        <w:tc>
          <w:tcPr>
            <w:tcW w:w="723" w:type="pct"/>
          </w:tcPr>
          <w:p w14:paraId="2CDB1964">
            <w:pPr>
              <w:pStyle w:val="29"/>
              <w:spacing w:after="40"/>
              <w:jc w:val="right"/>
              <w:rPr>
                <w:color w:val="auto"/>
                <w:sz w:val="20"/>
              </w:rPr>
            </w:pPr>
            <w:r>
              <w:rPr>
                <w:color w:val="auto"/>
                <w:sz w:val="20"/>
              </w:rPr>
              <w:t>0</w:t>
            </w:r>
          </w:p>
        </w:tc>
        <w:tc>
          <w:tcPr>
            <w:tcW w:w="1127" w:type="pct"/>
          </w:tcPr>
          <w:p w14:paraId="6C69DA3B">
            <w:pPr>
              <w:pStyle w:val="29"/>
              <w:spacing w:after="40"/>
              <w:jc w:val="right"/>
              <w:rPr>
                <w:color w:val="auto"/>
                <w:sz w:val="20"/>
              </w:rPr>
            </w:pPr>
            <w:r>
              <w:rPr>
                <w:color w:val="auto"/>
                <w:sz w:val="20"/>
              </w:rPr>
              <w:t>−</w:t>
            </w:r>
          </w:p>
        </w:tc>
      </w:tr>
      <w:tr w14:paraId="5C112E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40" w:type="dxa"/>
            <w:left w:w="108" w:type="dxa"/>
            <w:bottom w:w="40" w:type="dxa"/>
            <w:right w:w="108" w:type="dxa"/>
          </w:tblCellMar>
        </w:tblPrEx>
        <w:tc>
          <w:tcPr>
            <w:tcW w:w="3150" w:type="pct"/>
          </w:tcPr>
          <w:p w14:paraId="19887559">
            <w:pPr>
              <w:pStyle w:val="29"/>
              <w:spacing w:after="40"/>
              <w:rPr>
                <w:color w:val="auto"/>
                <w:sz w:val="20"/>
              </w:rPr>
            </w:pPr>
            <w:r>
              <w:rPr>
                <w:color w:val="auto"/>
                <w:sz w:val="20"/>
              </w:rPr>
              <w:t>Cancellation</w:t>
            </w:r>
          </w:p>
        </w:tc>
        <w:tc>
          <w:tcPr>
            <w:tcW w:w="723" w:type="pct"/>
          </w:tcPr>
          <w:p w14:paraId="230A9D9E">
            <w:pPr>
              <w:pStyle w:val="29"/>
              <w:spacing w:after="40"/>
              <w:jc w:val="right"/>
              <w:rPr>
                <w:color w:val="auto"/>
                <w:sz w:val="20"/>
              </w:rPr>
            </w:pPr>
            <w:r>
              <w:rPr>
                <w:color w:val="auto"/>
                <w:sz w:val="20"/>
              </w:rPr>
              <w:t>+</w:t>
            </w:r>
          </w:p>
        </w:tc>
        <w:tc>
          <w:tcPr>
            <w:tcW w:w="1127" w:type="pct"/>
          </w:tcPr>
          <w:p w14:paraId="694D7868">
            <w:pPr>
              <w:pStyle w:val="29"/>
              <w:spacing w:after="40"/>
              <w:jc w:val="right"/>
              <w:rPr>
                <w:color w:val="auto"/>
                <w:sz w:val="20"/>
              </w:rPr>
            </w:pPr>
            <w:r>
              <w:rPr>
                <w:color w:val="auto"/>
                <w:sz w:val="20"/>
              </w:rPr>
              <w:t>−</w:t>
            </w:r>
          </w:p>
        </w:tc>
      </w:tr>
      <w:tr w14:paraId="67862D3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40" w:type="dxa"/>
            <w:left w:w="108" w:type="dxa"/>
            <w:bottom w:w="40" w:type="dxa"/>
            <w:right w:w="108" w:type="dxa"/>
          </w:tblCellMar>
        </w:tblPrEx>
        <w:tc>
          <w:tcPr>
            <w:tcW w:w="3150" w:type="pct"/>
          </w:tcPr>
          <w:p w14:paraId="1A434C8A">
            <w:pPr>
              <w:pStyle w:val="29"/>
              <w:spacing w:after="40"/>
              <w:rPr>
                <w:color w:val="auto"/>
                <w:sz w:val="20"/>
              </w:rPr>
            </w:pPr>
            <w:r>
              <w:rPr>
                <w:color w:val="auto"/>
                <w:sz w:val="20"/>
              </w:rPr>
              <w:t>Checkout blocked</w:t>
            </w:r>
          </w:p>
        </w:tc>
        <w:tc>
          <w:tcPr>
            <w:tcW w:w="723" w:type="pct"/>
          </w:tcPr>
          <w:p w14:paraId="22DC1450">
            <w:pPr>
              <w:pStyle w:val="29"/>
              <w:spacing w:after="40"/>
              <w:jc w:val="right"/>
              <w:rPr>
                <w:color w:val="auto"/>
                <w:sz w:val="20"/>
              </w:rPr>
            </w:pPr>
            <w:r>
              <w:rPr>
                <w:color w:val="auto"/>
                <w:sz w:val="20"/>
              </w:rPr>
              <w:t>0</w:t>
            </w:r>
          </w:p>
        </w:tc>
        <w:tc>
          <w:tcPr>
            <w:tcW w:w="1127" w:type="pct"/>
          </w:tcPr>
          <w:p w14:paraId="70041428">
            <w:pPr>
              <w:pStyle w:val="29"/>
              <w:spacing w:after="40"/>
              <w:jc w:val="right"/>
              <w:rPr>
                <w:color w:val="auto"/>
                <w:sz w:val="20"/>
              </w:rPr>
            </w:pPr>
            <w:r>
              <w:rPr>
                <w:color w:val="auto"/>
                <w:sz w:val="20"/>
              </w:rPr>
              <w:t>0</w:t>
            </w:r>
          </w:p>
        </w:tc>
      </w:tr>
    </w:tbl>
    <w:p w14:paraId="2181FD16">
      <w:pPr>
        <w:pStyle w:val="3"/>
        <w:rPr>
          <w:color w:val="auto"/>
        </w:rPr>
      </w:pPr>
      <w:r>
        <w:rPr>
          <w:color w:val="auto"/>
        </w:rPr>
        <w:t>A check constraint enforces these rules on every row. Order events also carry the order reference and the pickup store, which is a second use of the store dimension. Each fact row keeps its source system and source reference, and the reference is unique, so no source record is loaded twice.</w:t>
      </w:r>
    </w:p>
    <w:p w14:paraId="12D707DE">
      <w:pPr>
        <w:pStyle w:val="3"/>
        <w:rPr>
          <w:color w:val="auto"/>
        </w:rPr>
      </w:pPr>
      <w:r>
        <w:rPr>
          <w:color w:val="auto"/>
        </w:rPr>
        <w:t>The dimensions use surrogate keys and conformed codes (</w:t>
      </w:r>
      <w:r>
        <w:rPr>
          <w:rStyle w:val="53"/>
          <w:color w:val="auto"/>
        </w:rPr>
        <w:t>S01</w:t>
      </w:r>
      <w:r>
        <w:rPr>
          <w:color w:val="auto"/>
        </w:rPr>
        <w:t xml:space="preserve">, </w:t>
      </w:r>
      <w:r>
        <w:rPr>
          <w:rStyle w:val="53"/>
          <w:color w:val="auto"/>
        </w:rPr>
        <w:t>P001</w:t>
      </w:r>
      <w:r>
        <w:rPr>
          <w:color w:val="auto"/>
        </w:rPr>
        <w:t>). The date dimension runs from 2020 to 2035 in Sydney time. Two more tables record each website sync: when it ran, which stock events happened since the previous sync, and the before and after value of each number it changed.</w:t>
      </w:r>
    </w:p>
    <w:bookmarkEnd w:id="11"/>
    <w:bookmarkEnd w:id="14"/>
    <w:p w14:paraId="5E557F14">
      <w:pPr>
        <w:pStyle w:val="4"/>
        <w:rPr>
          <w:color w:val="auto"/>
        </w:rPr>
      </w:pPr>
      <w:bookmarkStart w:id="15" w:name="_Toc242203704"/>
      <w:bookmarkStart w:id="16" w:name="design-rationale"/>
      <w:r>
        <w:rPr>
          <w:color w:val="auto"/>
        </w:rPr>
        <w:t>2.4 Design Rationale</w:t>
      </w:r>
      <w:bookmarkEnd w:id="15"/>
    </w:p>
    <w:p w14:paraId="10F8FB49">
      <w:pPr>
        <w:pStyle w:val="28"/>
        <w:rPr>
          <w:color w:val="auto"/>
        </w:rPr>
      </w:pPr>
      <w:r>
        <w:rPr>
          <w:b/>
          <w:bCs/>
          <w:color w:val="auto"/>
        </w:rPr>
        <w:t>One fact table of stock events.</w:t>
      </w:r>
      <w:r>
        <w:rPr>
          <w:color w:val="auto"/>
        </w:rPr>
        <w:t xml:space="preserve"> Every report needs stock changes over time. A single signed history gives current stock, stock at any earlier moment and an audit trail, without keeping separate balance tables in step.</w:t>
      </w:r>
    </w:p>
    <w:p w14:paraId="3ACCCAE7">
      <w:pPr>
        <w:pStyle w:val="3"/>
        <w:rPr>
          <w:color w:val="auto"/>
        </w:rPr>
      </w:pPr>
      <w:r>
        <w:rPr>
          <w:b/>
          <w:bCs/>
          <w:color w:val="auto"/>
        </w:rPr>
        <w:t>Separate codes joined through approved mappings.</w:t>
      </w:r>
      <w:r>
        <w:rPr>
          <w:color w:val="auto"/>
        </w:rPr>
        <w:t xml:space="preserve"> Real systems from different vendors do not share keys. Mapping each source code to a warehouse code makes the integration explicit and keeps the warehouse independent of any one source.</w:t>
      </w:r>
    </w:p>
    <w:p w14:paraId="5D90E046">
      <w:pPr>
        <w:pStyle w:val="3"/>
        <w:rPr>
          <w:color w:val="auto"/>
        </w:rPr>
      </w:pPr>
      <w:r>
        <w:rPr>
          <w:b/>
          <w:bCs/>
          <w:color w:val="auto"/>
        </w:rPr>
        <w:t>Reject unknown codes instead of guessing or failing.</w:t>
      </w:r>
      <w:r>
        <w:rPr>
          <w:color w:val="auto"/>
        </w:rPr>
        <w:t xml:space="preserve"> A guessed mapping corrupts stock silently, and failing the sale would stop a till. Rejecting the record into staging lets the store keep trading, keeps the warehouse correct and shows the gap until someone approves the mapping.</w:t>
      </w:r>
    </w:p>
    <w:p w14:paraId="19F8CDE6">
      <w:pPr>
        <w:pStyle w:val="3"/>
        <w:rPr>
          <w:color w:val="auto"/>
        </w:rPr>
      </w:pPr>
      <w:r>
        <w:rPr>
          <w:b/>
          <w:bCs/>
          <w:color w:val="auto"/>
        </w:rPr>
        <w:t>ETL in the same transaction as the source change.</w:t>
      </w:r>
      <w:r>
        <w:rPr>
          <w:color w:val="auto"/>
        </w:rPr>
        <w:t xml:space="preserve"> Every sale, delivery and order reaches the warehouse immediately, so the source and the warehouse never disagree, and no scheduler is needed in the lab.</w:t>
      </w:r>
    </w:p>
    <w:p w14:paraId="78FFBCAE">
      <w:pPr>
        <w:pStyle w:val="3"/>
        <w:rPr>
          <w:color w:val="auto"/>
        </w:rPr>
      </w:pPr>
      <w:r>
        <w:rPr>
          <w:b/>
          <w:bCs/>
          <w:color w:val="auto"/>
        </w:rPr>
        <w:t>The website number comes from the store system.</w:t>
      </w:r>
      <w:r>
        <w:rPr>
          <w:color w:val="auto"/>
        </w:rPr>
        <w:t xml:space="preserve"> The website number is operational, and the store system already holds real stock. The warehouse is used for analysis only, so a problem in the warehouse can never stop customers from buying.</w:t>
      </w:r>
    </w:p>
    <w:p w14:paraId="05F64E09">
      <w:pPr>
        <w:pStyle w:val="3"/>
        <w:rPr>
          <w:color w:val="auto"/>
        </w:rPr>
      </w:pPr>
      <w:r>
        <w:rPr>
          <w:b/>
          <w:bCs/>
          <w:color w:val="auto"/>
        </w:rPr>
        <w:t>Manual sync.</w:t>
      </w:r>
      <w:r>
        <w:rPr>
          <w:color w:val="auto"/>
        </w:rPr>
        <w:t xml:space="preserve"> Staleness is the problem we study. A sync on demand lets us build up a stale state and show the correction. A schedule would only change when the same function runs.</w:t>
      </w:r>
    </w:p>
    <w:p w14:paraId="551C5542">
      <w:pPr>
        <w:pStyle w:val="3"/>
        <w:rPr>
          <w:color w:val="auto"/>
        </w:rPr>
      </w:pPr>
      <w:r>
        <w:rPr>
          <w:b/>
          <w:bCs/>
          <w:color w:val="auto"/>
        </w:rPr>
        <w:t>Stock checked before payment.</w:t>
      </w:r>
      <w:r>
        <w:rPr>
          <w:color w:val="auto"/>
        </w:rPr>
        <w:t xml:space="preserve"> Taking payment and then cancelling costs refunds and trust. Checking and locking real stock at checkout means every paid order can be fulfilled.</w:t>
      </w:r>
    </w:p>
    <w:bookmarkEnd w:id="16"/>
    <w:p w14:paraId="3AFFA256">
      <w:pPr>
        <w:pStyle w:val="4"/>
        <w:rPr>
          <w:color w:val="auto"/>
        </w:rPr>
      </w:pPr>
      <w:bookmarkStart w:id="17" w:name="_Toc242203705"/>
      <w:bookmarkStart w:id="18" w:name="design-trade-offs"/>
      <w:r>
        <w:rPr>
          <w:color w:val="auto"/>
        </w:rPr>
        <w:t>2.5 Design Trade-offs</w:t>
      </w:r>
      <w:bookmarkEnd w:id="17"/>
    </w:p>
    <w:p w14:paraId="7C03A384">
      <w:pPr>
        <w:pStyle w:val="28"/>
        <w:rPr>
          <w:color w:val="auto"/>
        </w:rPr>
      </w:pPr>
      <w:r>
        <w:rPr>
          <w:b/>
          <w:bCs/>
          <w:color w:val="auto"/>
        </w:rPr>
        <w:t>One database for all systems.</w:t>
      </w:r>
      <w:r>
        <w:rPr>
          <w:color w:val="auto"/>
        </w:rPr>
        <w:t xml:space="preserve"> Putting the five schemas in one PostgreSQL database keeps the prototype simple and lets the ETL share the source transaction. Real systems would be separate databases connected through messages or APIs, with the warehouse fed from their change logs.</w:t>
      </w:r>
    </w:p>
    <w:p w14:paraId="32A4FCD5">
      <w:pPr>
        <w:pStyle w:val="3"/>
        <w:rPr>
          <w:color w:val="auto"/>
        </w:rPr>
      </w:pPr>
      <w:r>
        <w:rPr>
          <w:b/>
          <w:bCs/>
          <w:color w:val="auto"/>
        </w:rPr>
        <w:t>ETL inside every transaction.</w:t>
      </w:r>
      <w:r>
        <w:rPr>
          <w:color w:val="auto"/>
        </w:rPr>
        <w:t xml:space="preserve"> This removes any delay, but every till sale also pays for an ETL run, about 5 ms per sale at our data volume. At production volume the ETL would run asynchronously in small batches every few seconds.</w:t>
      </w:r>
    </w:p>
    <w:p w14:paraId="7E845735">
      <w:pPr>
        <w:pStyle w:val="3"/>
        <w:rPr>
          <w:color w:val="auto"/>
        </w:rPr>
      </w:pPr>
      <w:r>
        <w:rPr>
          <w:b/>
          <w:bCs/>
          <w:color w:val="auto"/>
        </w:rPr>
        <w:t>Type 1 dimensions.</w:t>
      </w:r>
      <w:r>
        <w:rPr>
          <w:color w:val="auto"/>
        </w:rPr>
        <w:t xml:space="preserve"> A price change overwrites the old price, so the sales report values past sales at today’s price. Type 2 dimensions, or storing the price on the fact, would fix this.</w:t>
      </w:r>
    </w:p>
    <w:p w14:paraId="361298AC">
      <w:pPr>
        <w:pStyle w:val="3"/>
        <w:rPr>
          <w:color w:val="auto"/>
        </w:rPr>
      </w:pPr>
      <w:r>
        <w:rPr>
          <w:b/>
          <w:bCs/>
          <w:color w:val="auto"/>
        </w:rPr>
        <w:t>One store per item.</w:t>
      </w:r>
      <w:r>
        <w:rPr>
          <w:color w:val="auto"/>
        </w:rPr>
        <w:t xml:space="preserve"> Each order item must come from a single store, so an item that only two stores together could supply is blocked at checkout. Splitting items across transfers would remove this limit but makes fulfilment more complex.</w:t>
      </w:r>
    </w:p>
    <w:p w14:paraId="0277C140">
      <w:pPr>
        <w:pStyle w:val="3"/>
        <w:rPr>
          <w:color w:val="auto"/>
        </w:rPr>
      </w:pPr>
      <w:r>
        <w:rPr>
          <w:b/>
          <w:bCs/>
          <w:color w:val="auto"/>
        </w:rPr>
        <w:t>Stale numbers on the product page.</w:t>
      </w:r>
      <w:r>
        <w:rPr>
          <w:color w:val="auto"/>
        </w:rPr>
        <w:t xml:space="preserve"> Checkout is safe, but customers can still add items that are already gone. Checking real stock when an item is added, or syncing more often, would reduce this.</w:t>
      </w:r>
    </w:p>
    <w:bookmarkEnd w:id="5"/>
    <w:bookmarkEnd w:id="18"/>
    <w:p w14:paraId="473D61A8">
      <w:pPr>
        <w:pStyle w:val="2"/>
        <w:rPr>
          <w:color w:val="auto"/>
        </w:rPr>
      </w:pPr>
      <w:bookmarkStart w:id="19" w:name="_Toc242203706"/>
      <w:bookmarkStart w:id="20" w:name="working-prototype-implementation"/>
      <w:r>
        <w:rPr>
          <w:color w:val="auto"/>
        </w:rPr>
        <w:t>3. Working Prototype Implementation</w:t>
      </w:r>
      <w:bookmarkEnd w:id="19"/>
    </w:p>
    <w:p w14:paraId="18D846B9">
      <w:pPr>
        <w:pStyle w:val="28"/>
        <w:rPr>
          <w:color w:val="auto"/>
        </w:rPr>
      </w:pPr>
      <w:r>
        <w:rPr>
          <w:color w:val="auto"/>
        </w:rPr>
        <w:t>The prototype runs in the course Lab Environment (PostgreSQL 15, a Python container and CloudBeaver). One command rebuilds the whole database:</w:t>
      </w:r>
    </w:p>
    <w:p w14:paraId="3C1DE5C6">
      <w:pPr>
        <w:pStyle w:val="54"/>
        <w:rPr>
          <w:color w:val="auto"/>
        </w:rPr>
      </w:pPr>
      <w:r>
        <w:rPr>
          <w:rStyle w:val="81"/>
          <w:color w:val="auto"/>
        </w:rPr>
        <w:t>docker</w:t>
      </w:r>
      <w:r>
        <w:rPr>
          <w:rStyle w:val="89"/>
          <w:color w:val="auto"/>
        </w:rPr>
        <w:t xml:space="preserve"> compose exec python python /workspace/scripts/build.py</w:t>
      </w:r>
    </w:p>
    <w:p w14:paraId="6204AA1B">
      <w:pPr>
        <w:pStyle w:val="4"/>
        <w:rPr>
          <w:color w:val="auto"/>
        </w:rPr>
      </w:pPr>
      <w:bookmarkStart w:id="21" w:name="_Toc242203707"/>
      <w:bookmarkStart w:id="22" w:name="source-system-databases-and-schemas"/>
      <w:r>
        <w:rPr>
          <w:color w:val="auto"/>
        </w:rPr>
        <w:t>3.1 Source system databases and schemas</w:t>
      </w:r>
      <w:bookmarkEnd w:id="21"/>
    </w:p>
    <w:p w14:paraId="67FEAB18">
      <w:pPr>
        <w:pStyle w:val="28"/>
        <w:rPr>
          <w:color w:val="auto"/>
        </w:rPr>
      </w:pPr>
      <w:r>
        <w:rPr>
          <w:color w:val="auto"/>
        </w:rPr>
        <w:t xml:space="preserve">The three source systems are the schemas </w:t>
      </w:r>
      <w:r>
        <w:rPr>
          <w:rStyle w:val="53"/>
          <w:color w:val="auto"/>
        </w:rPr>
        <w:t>store_ops</w:t>
      </w:r>
      <w:r>
        <w:rPr>
          <w:color w:val="auto"/>
        </w:rPr>
        <w:t xml:space="preserve"> (6 tables), </w:t>
      </w:r>
      <w:r>
        <w:rPr>
          <w:rStyle w:val="53"/>
          <w:color w:val="auto"/>
        </w:rPr>
        <w:t>supply</w:t>
      </w:r>
      <w:r>
        <w:rPr>
          <w:color w:val="auto"/>
        </w:rPr>
        <w:t xml:space="preserve"> (4 tables) and </w:t>
      </w:r>
      <w:r>
        <w:rPr>
          <w:rStyle w:val="53"/>
          <w:color w:val="auto"/>
        </w:rPr>
        <w:t>online</w:t>
      </w:r>
      <w:r>
        <w:rPr>
          <w:color w:val="auto"/>
        </w:rPr>
        <w:t xml:space="preserve"> (12 tables), each with its own business functions and triggers.</w:t>
      </w:r>
    </w:p>
    <w:tbl>
      <w:tblPr>
        <w:tblStyle w:val="22"/>
        <w:tblW w:w="5000" w:type="pct"/>
        <w:tblInd w:w="0" w:type="dxa"/>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shd w:val="clear" w:color="auto" w:fill="F5F5F5"/>
        <w:tblLayout w:type="fixed"/>
        <w:tblCellMar>
          <w:top w:w="0" w:type="dxa"/>
          <w:left w:w="108" w:type="dxa"/>
          <w:bottom w:w="0" w:type="dxa"/>
          <w:right w:w="108" w:type="dxa"/>
        </w:tblCellMar>
      </w:tblPr>
      <w:tblGrid>
        <w:gridCol w:w="9243"/>
      </w:tblGrid>
      <w:tr w14:paraId="10755083">
        <w:tblPrEx>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shd w:val="clear" w:color="auto" w:fill="F5F5F5"/>
          <w:tblCellMar>
            <w:top w:w="0" w:type="dxa"/>
            <w:left w:w="108" w:type="dxa"/>
            <w:bottom w:w="0" w:type="dxa"/>
            <w:right w:w="108" w:type="dxa"/>
          </w:tblCellMar>
        </w:tblPrEx>
        <w:trPr>
          <w:cantSplit/>
          <w:trHeight w:val="3000" w:hRule="exact"/>
        </w:trPr>
        <w:tc>
          <w:tcPr>
            <w:tcW w:w="9243" w:type="dxa"/>
            <w:shd w:val="clear" w:color="auto" w:fill="F5F5F5"/>
            <w:vAlign w:val="center"/>
          </w:tcPr>
          <w:p w14:paraId="299D3E8C">
            <w:pPr>
              <w:pStyle w:val="57"/>
              <w:rPr>
                <w:color w:val="auto"/>
              </w:rPr>
            </w:pPr>
            <w:r>
              <w:rPr>
                <w:color w:val="auto"/>
              </w:rPr>
              <w:t>[Figure 7 — insert here]</w:t>
            </w:r>
          </w:p>
        </w:tc>
      </w:tr>
    </w:tbl>
    <w:p w14:paraId="2FF69707">
      <w:pPr>
        <w:pStyle w:val="57"/>
        <w:rPr>
          <w:color w:val="auto"/>
        </w:rPr>
      </w:pPr>
    </w:p>
    <w:p w14:paraId="220CC32F">
      <w:pPr>
        <w:pStyle w:val="58"/>
        <w:rPr>
          <w:color w:val="auto"/>
        </w:rPr>
      </w:pPr>
      <w:r>
        <w:rPr>
          <w:color w:val="auto"/>
        </w:rPr>
        <w:t xml:space="preserve">TODO: CloudBeaver navigator showing the five schemas in </w:t>
      </w:r>
      <w:r>
        <w:rPr>
          <w:rStyle w:val="53"/>
          <w:color w:val="auto"/>
        </w:rPr>
        <w:t>pethaven_demo</w:t>
      </w:r>
      <w:r>
        <w:rPr>
          <w:color w:val="auto"/>
        </w:rPr>
        <w:t xml:space="preserve">, with the </w:t>
      </w:r>
      <w:r>
        <w:rPr>
          <w:rStyle w:val="53"/>
          <w:color w:val="auto"/>
        </w:rPr>
        <w:t>store_ops</w:t>
      </w:r>
      <w:r>
        <w:rPr>
          <w:color w:val="auto"/>
        </w:rPr>
        <w:t xml:space="preserve"> tables expanded.</w:t>
      </w:r>
    </w:p>
    <w:bookmarkEnd w:id="22"/>
    <w:p w14:paraId="5EA89B2B">
      <w:pPr>
        <w:pStyle w:val="4"/>
        <w:rPr>
          <w:color w:val="auto"/>
        </w:rPr>
      </w:pPr>
      <w:bookmarkStart w:id="23" w:name="_Toc242203708"/>
      <w:bookmarkStart w:id="24" w:name="integrated-data-warehouse"/>
      <w:r>
        <w:rPr>
          <w:color w:val="auto"/>
        </w:rPr>
        <w:t>3.2 Integrated data warehouse</w:t>
      </w:r>
      <w:bookmarkEnd w:id="23"/>
    </w:p>
    <w:p w14:paraId="0555AA33">
      <w:pPr>
        <w:pStyle w:val="28"/>
        <w:rPr>
          <w:color w:val="auto"/>
        </w:rPr>
      </w:pPr>
      <w:r>
        <w:rPr>
          <w:color w:val="auto"/>
        </w:rPr>
        <w:t xml:space="preserve">The warehouse is the </w:t>
      </w:r>
      <w:r>
        <w:rPr>
          <w:rStyle w:val="53"/>
          <w:color w:val="auto"/>
        </w:rPr>
        <w:t>dw</w:t>
      </w:r>
      <w:r>
        <w:rPr>
          <w:color w:val="auto"/>
        </w:rPr>
        <w:t xml:space="preserve"> schema with the stock-event fact table, the three dimensions and the two sync tables. After the build it holds 146 stock events, and all 90 store and product combinations match the store system.</w:t>
      </w:r>
    </w:p>
    <w:tbl>
      <w:tblPr>
        <w:tblStyle w:val="22"/>
        <w:tblW w:w="5000" w:type="pct"/>
        <w:tblInd w:w="0" w:type="dxa"/>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shd w:val="clear" w:color="auto" w:fill="F5F5F5"/>
        <w:tblLayout w:type="fixed"/>
        <w:tblCellMar>
          <w:top w:w="0" w:type="dxa"/>
          <w:left w:w="108" w:type="dxa"/>
          <w:bottom w:w="0" w:type="dxa"/>
          <w:right w:w="108" w:type="dxa"/>
        </w:tblCellMar>
      </w:tblPr>
      <w:tblGrid>
        <w:gridCol w:w="9243"/>
      </w:tblGrid>
      <w:tr w14:paraId="0541F93A">
        <w:tblPrEx>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shd w:val="clear" w:color="auto" w:fill="F5F5F5"/>
          <w:tblCellMar>
            <w:top w:w="0" w:type="dxa"/>
            <w:left w:w="108" w:type="dxa"/>
            <w:bottom w:w="0" w:type="dxa"/>
            <w:right w:w="108" w:type="dxa"/>
          </w:tblCellMar>
        </w:tblPrEx>
        <w:trPr>
          <w:cantSplit/>
          <w:trHeight w:val="3000" w:hRule="exact"/>
        </w:trPr>
        <w:tc>
          <w:tcPr>
            <w:tcW w:w="9243" w:type="dxa"/>
            <w:shd w:val="clear" w:color="auto" w:fill="F5F5F5"/>
            <w:vAlign w:val="center"/>
          </w:tcPr>
          <w:p w14:paraId="4DB0733E">
            <w:pPr>
              <w:pStyle w:val="57"/>
              <w:rPr>
                <w:color w:val="auto"/>
              </w:rPr>
            </w:pPr>
            <w:r>
              <w:rPr>
                <w:color w:val="auto"/>
              </w:rPr>
              <w:t>[Figure 8 — insert here]</w:t>
            </w:r>
          </w:p>
        </w:tc>
      </w:tr>
    </w:tbl>
    <w:p w14:paraId="426F1761">
      <w:pPr>
        <w:pStyle w:val="57"/>
        <w:rPr>
          <w:color w:val="auto"/>
        </w:rPr>
      </w:pPr>
    </w:p>
    <w:p w14:paraId="3AE0CE90">
      <w:pPr>
        <w:pStyle w:val="58"/>
        <w:rPr>
          <w:color w:val="auto"/>
        </w:rPr>
      </w:pPr>
      <w:r>
        <w:rPr>
          <w:color w:val="auto"/>
        </w:rPr>
        <w:t xml:space="preserve">TODO: A few rows of </w:t>
      </w:r>
      <w:r>
        <w:rPr>
          <w:rStyle w:val="53"/>
          <w:color w:val="auto"/>
        </w:rPr>
        <w:t>dw.fact_stock_event</w:t>
      </w:r>
      <w:r>
        <w:rPr>
          <w:color w:val="auto"/>
        </w:rPr>
        <w:t xml:space="preserve"> in CloudBeaver, showing event type, signed quantities and source reference.</w:t>
      </w:r>
    </w:p>
    <w:bookmarkEnd w:id="24"/>
    <w:p w14:paraId="5D613A7C">
      <w:pPr>
        <w:pStyle w:val="4"/>
        <w:rPr>
          <w:color w:val="auto"/>
        </w:rPr>
      </w:pPr>
      <w:bookmarkStart w:id="25" w:name="_Toc242203709"/>
      <w:bookmarkStart w:id="26" w:name="sql-scripts-and-synthetic-data"/>
      <w:r>
        <w:rPr>
          <w:color w:val="auto"/>
        </w:rPr>
        <w:t>3.3 SQL scripts and synthetic data</w:t>
      </w:r>
      <w:bookmarkEnd w:id="25"/>
    </w:p>
    <w:p w14:paraId="760D8E85">
      <w:pPr>
        <w:pStyle w:val="28"/>
        <w:rPr>
          <w:color w:val="auto"/>
        </w:rPr>
      </w:pPr>
      <w:r>
        <w:rPr>
          <w:color w:val="auto"/>
        </w:rPr>
        <w:t>All SQL is commented and runs on a clean database without errors. Table 2 maps each script to the part of the design it implements.</w:t>
      </w:r>
    </w:p>
    <w:p w14:paraId="01217E9B">
      <w:pPr>
        <w:pStyle w:val="3"/>
        <w:rPr>
          <w:color w:val="auto"/>
        </w:rPr>
      </w:pPr>
      <w:r>
        <w:rPr>
          <w:b/>
          <w:bCs/>
          <w:color w:val="auto"/>
        </w:rPr>
        <w:t>Table 2. SQL scripts</w:t>
      </w:r>
    </w:p>
    <w:tbl>
      <w:tblPr>
        <w:tblStyle w:val="46"/>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40" w:type="dxa"/>
          <w:left w:w="108" w:type="dxa"/>
          <w:bottom w:w="40" w:type="dxa"/>
          <w:right w:w="108" w:type="dxa"/>
        </w:tblCellMar>
      </w:tblPr>
      <w:tblGrid>
        <w:gridCol w:w="4621"/>
        <w:gridCol w:w="4622"/>
      </w:tblGrid>
      <w:tr w14:paraId="7C6F05B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40" w:type="dxa"/>
            <w:left w:w="108" w:type="dxa"/>
            <w:bottom w:w="40" w:type="dxa"/>
            <w:right w:w="108" w:type="dxa"/>
          </w:tblCellMar>
        </w:tblPrEx>
        <w:trPr>
          <w:tblHeader/>
        </w:trPr>
        <w:tc>
          <w:tcPr>
            <w:tcW w:w="2500" w:type="pct"/>
            <w:tcBorders>
              <w:bottom w:val="nil"/>
            </w:tcBorders>
            <w:shd w:val="clear" w:color="auto" w:fill="DCE6F0"/>
            <w:vAlign w:val="bottom"/>
          </w:tcPr>
          <w:p w14:paraId="7D029E34">
            <w:pPr>
              <w:pStyle w:val="29"/>
              <w:spacing w:after="40"/>
              <w:rPr>
                <w:b/>
                <w:color w:val="auto"/>
                <w:sz w:val="20"/>
              </w:rPr>
            </w:pPr>
            <w:r>
              <w:rPr>
                <w:b/>
                <w:color w:val="auto"/>
                <w:sz w:val="20"/>
              </w:rPr>
              <w:t>Script</w:t>
            </w:r>
          </w:p>
        </w:tc>
        <w:tc>
          <w:tcPr>
            <w:tcW w:w="2500" w:type="pct"/>
            <w:tcBorders>
              <w:bottom w:val="nil"/>
            </w:tcBorders>
            <w:shd w:val="clear" w:color="auto" w:fill="DCE6F0"/>
            <w:vAlign w:val="bottom"/>
          </w:tcPr>
          <w:p w14:paraId="687C1CF0">
            <w:pPr>
              <w:pStyle w:val="29"/>
              <w:spacing w:after="40"/>
              <w:rPr>
                <w:b/>
                <w:color w:val="auto"/>
                <w:sz w:val="20"/>
              </w:rPr>
            </w:pPr>
            <w:r>
              <w:rPr>
                <w:b/>
                <w:color w:val="auto"/>
                <w:sz w:val="20"/>
              </w:rPr>
              <w:t>Implements</w:t>
            </w:r>
          </w:p>
        </w:tc>
      </w:tr>
      <w:tr w14:paraId="5964BBF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40" w:type="dxa"/>
            <w:left w:w="108" w:type="dxa"/>
            <w:bottom w:w="40" w:type="dxa"/>
            <w:right w:w="108" w:type="dxa"/>
          </w:tblCellMar>
        </w:tblPrEx>
        <w:tc>
          <w:tcPr>
            <w:tcW w:w="2500" w:type="pct"/>
          </w:tcPr>
          <w:p w14:paraId="4A3B3836">
            <w:pPr>
              <w:pStyle w:val="29"/>
              <w:spacing w:after="40"/>
              <w:rPr>
                <w:color w:val="auto"/>
                <w:sz w:val="20"/>
              </w:rPr>
            </w:pPr>
            <w:r>
              <w:rPr>
                <w:rStyle w:val="53"/>
                <w:color w:val="auto"/>
                <w:sz w:val="20"/>
              </w:rPr>
              <w:t>01_schemas.sql</w:t>
            </w:r>
          </w:p>
        </w:tc>
        <w:tc>
          <w:tcPr>
            <w:tcW w:w="2500" w:type="pct"/>
          </w:tcPr>
          <w:p w14:paraId="5CE85DD6">
            <w:pPr>
              <w:pStyle w:val="29"/>
              <w:spacing w:after="40"/>
              <w:rPr>
                <w:color w:val="auto"/>
                <w:sz w:val="20"/>
              </w:rPr>
            </w:pPr>
            <w:r>
              <w:rPr>
                <w:color w:val="auto"/>
                <w:sz w:val="20"/>
              </w:rPr>
              <w:t>The five schemas</w:t>
            </w:r>
          </w:p>
        </w:tc>
      </w:tr>
      <w:tr w14:paraId="5B8B2E9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40" w:type="dxa"/>
            <w:left w:w="108" w:type="dxa"/>
            <w:bottom w:w="40" w:type="dxa"/>
            <w:right w:w="108" w:type="dxa"/>
          </w:tblCellMar>
        </w:tblPrEx>
        <w:tc>
          <w:tcPr>
            <w:tcW w:w="2500" w:type="pct"/>
          </w:tcPr>
          <w:p w14:paraId="088D1D00">
            <w:pPr>
              <w:pStyle w:val="29"/>
              <w:spacing w:after="40"/>
              <w:rPr>
                <w:color w:val="auto"/>
                <w:sz w:val="20"/>
              </w:rPr>
            </w:pPr>
            <w:r>
              <w:rPr>
                <w:rStyle w:val="53"/>
                <w:color w:val="auto"/>
                <w:sz w:val="20"/>
              </w:rPr>
              <w:t>02_store_ops.sql</w:t>
            </w:r>
          </w:p>
        </w:tc>
        <w:tc>
          <w:tcPr>
            <w:tcW w:w="2500" w:type="pct"/>
          </w:tcPr>
          <w:p w14:paraId="289E4A0A">
            <w:pPr>
              <w:pStyle w:val="29"/>
              <w:spacing w:after="40"/>
              <w:rPr>
                <w:color w:val="auto"/>
                <w:sz w:val="20"/>
              </w:rPr>
            </w:pPr>
            <w:r>
              <w:rPr>
                <w:color w:val="auto"/>
                <w:sz w:val="20"/>
              </w:rPr>
              <w:t>Store system: tables, sale trigger, stock and order functions</w:t>
            </w:r>
          </w:p>
        </w:tc>
      </w:tr>
      <w:tr w14:paraId="5FD10A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40" w:type="dxa"/>
            <w:left w:w="108" w:type="dxa"/>
            <w:bottom w:w="40" w:type="dxa"/>
            <w:right w:w="108" w:type="dxa"/>
          </w:tblCellMar>
        </w:tblPrEx>
        <w:tc>
          <w:tcPr>
            <w:tcW w:w="2500" w:type="pct"/>
          </w:tcPr>
          <w:p w14:paraId="0586F8E0">
            <w:pPr>
              <w:pStyle w:val="29"/>
              <w:spacing w:after="40"/>
              <w:rPr>
                <w:color w:val="auto"/>
                <w:sz w:val="20"/>
              </w:rPr>
            </w:pPr>
            <w:r>
              <w:rPr>
                <w:rStyle w:val="53"/>
                <w:color w:val="auto"/>
                <w:sz w:val="20"/>
              </w:rPr>
              <w:t>03_supply.sql</w:t>
            </w:r>
          </w:p>
        </w:tc>
        <w:tc>
          <w:tcPr>
            <w:tcW w:w="2500" w:type="pct"/>
          </w:tcPr>
          <w:p w14:paraId="26066EB0">
            <w:pPr>
              <w:pStyle w:val="29"/>
              <w:spacing w:after="40"/>
              <w:rPr>
                <w:color w:val="auto"/>
                <w:sz w:val="20"/>
              </w:rPr>
            </w:pPr>
            <w:r>
              <w:rPr>
                <w:color w:val="auto"/>
                <w:sz w:val="20"/>
              </w:rPr>
              <w:t>Delivery system: tables, delivery trigger</w:t>
            </w:r>
          </w:p>
        </w:tc>
      </w:tr>
      <w:tr w14:paraId="5CAA0C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40" w:type="dxa"/>
            <w:left w:w="108" w:type="dxa"/>
            <w:bottom w:w="40" w:type="dxa"/>
            <w:right w:w="108" w:type="dxa"/>
          </w:tblCellMar>
        </w:tblPrEx>
        <w:tc>
          <w:tcPr>
            <w:tcW w:w="2500" w:type="pct"/>
          </w:tcPr>
          <w:p w14:paraId="717CD803">
            <w:pPr>
              <w:pStyle w:val="29"/>
              <w:spacing w:after="40"/>
              <w:rPr>
                <w:color w:val="auto"/>
                <w:sz w:val="20"/>
              </w:rPr>
            </w:pPr>
            <w:r>
              <w:rPr>
                <w:rStyle w:val="53"/>
                <w:color w:val="auto"/>
                <w:sz w:val="20"/>
              </w:rPr>
              <w:t>04_online.sql</w:t>
            </w:r>
          </w:p>
        </w:tc>
        <w:tc>
          <w:tcPr>
            <w:tcW w:w="2500" w:type="pct"/>
          </w:tcPr>
          <w:p w14:paraId="5D77EC1D">
            <w:pPr>
              <w:pStyle w:val="29"/>
              <w:spacing w:after="40"/>
              <w:rPr>
                <w:color w:val="auto"/>
                <w:sz w:val="20"/>
              </w:rPr>
            </w:pPr>
            <w:r>
              <w:rPr>
                <w:color w:val="auto"/>
                <w:sz w:val="20"/>
              </w:rPr>
              <w:t>Online store: bag, pickup options, checkout, website sync</w:t>
            </w:r>
          </w:p>
        </w:tc>
      </w:tr>
      <w:tr w14:paraId="1548756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40" w:type="dxa"/>
            <w:left w:w="108" w:type="dxa"/>
            <w:bottom w:w="40" w:type="dxa"/>
            <w:right w:w="108" w:type="dxa"/>
          </w:tblCellMar>
        </w:tblPrEx>
        <w:tc>
          <w:tcPr>
            <w:tcW w:w="2500" w:type="pct"/>
          </w:tcPr>
          <w:p w14:paraId="02B3F64E">
            <w:pPr>
              <w:pStyle w:val="29"/>
              <w:spacing w:after="40"/>
              <w:rPr>
                <w:color w:val="auto"/>
                <w:sz w:val="20"/>
              </w:rPr>
            </w:pPr>
            <w:r>
              <w:rPr>
                <w:rStyle w:val="53"/>
                <w:color w:val="auto"/>
                <w:sz w:val="20"/>
              </w:rPr>
              <w:t>05_warehouse.sql</w:t>
            </w:r>
          </w:p>
        </w:tc>
        <w:tc>
          <w:tcPr>
            <w:tcW w:w="2500" w:type="pct"/>
          </w:tcPr>
          <w:p w14:paraId="4CFCB214">
            <w:pPr>
              <w:pStyle w:val="29"/>
              <w:spacing w:after="40"/>
              <w:rPr>
                <w:color w:val="auto"/>
                <w:sz w:val="20"/>
              </w:rPr>
            </w:pPr>
            <w:r>
              <w:rPr>
                <w:color w:val="auto"/>
                <w:sz w:val="20"/>
              </w:rPr>
              <w:t>Dimensions, fact table, sync tables, indexes</w:t>
            </w:r>
          </w:p>
        </w:tc>
      </w:tr>
      <w:tr w14:paraId="1D298A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40" w:type="dxa"/>
            <w:left w:w="108" w:type="dxa"/>
            <w:bottom w:w="40" w:type="dxa"/>
            <w:right w:w="108" w:type="dxa"/>
          </w:tblCellMar>
        </w:tblPrEx>
        <w:tc>
          <w:tcPr>
            <w:tcW w:w="2500" w:type="pct"/>
          </w:tcPr>
          <w:p w14:paraId="17CC8327">
            <w:pPr>
              <w:pStyle w:val="29"/>
              <w:spacing w:after="40"/>
              <w:rPr>
                <w:color w:val="auto"/>
                <w:sz w:val="20"/>
              </w:rPr>
            </w:pPr>
            <w:r>
              <w:rPr>
                <w:rStyle w:val="53"/>
                <w:color w:val="auto"/>
                <w:sz w:val="20"/>
              </w:rPr>
              <w:t>06_etl.sql</w:t>
            </w:r>
          </w:p>
        </w:tc>
        <w:tc>
          <w:tcPr>
            <w:tcW w:w="2500" w:type="pct"/>
          </w:tcPr>
          <w:p w14:paraId="1BD03262">
            <w:pPr>
              <w:pStyle w:val="29"/>
              <w:spacing w:after="40"/>
              <w:rPr>
                <w:color w:val="auto"/>
                <w:sz w:val="20"/>
              </w:rPr>
            </w:pPr>
            <w:r>
              <w:rPr>
                <w:color w:val="auto"/>
                <w:sz w:val="20"/>
              </w:rPr>
              <w:t>Cross-references, staging, extract triggers, transform view, load</w:t>
            </w:r>
          </w:p>
        </w:tc>
      </w:tr>
      <w:tr w14:paraId="2241A5E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40" w:type="dxa"/>
            <w:left w:w="108" w:type="dxa"/>
            <w:bottom w:w="40" w:type="dxa"/>
            <w:right w:w="108" w:type="dxa"/>
          </w:tblCellMar>
        </w:tblPrEx>
        <w:tc>
          <w:tcPr>
            <w:tcW w:w="2500" w:type="pct"/>
          </w:tcPr>
          <w:p w14:paraId="5DB16E76">
            <w:pPr>
              <w:pStyle w:val="29"/>
              <w:spacing w:after="40"/>
              <w:rPr>
                <w:color w:val="auto"/>
                <w:sz w:val="20"/>
              </w:rPr>
            </w:pPr>
            <w:r>
              <w:rPr>
                <w:rStyle w:val="53"/>
                <w:color w:val="auto"/>
                <w:sz w:val="20"/>
              </w:rPr>
              <w:t>07_sync.sql</w:t>
            </w:r>
          </w:p>
        </w:tc>
        <w:tc>
          <w:tcPr>
            <w:tcW w:w="2500" w:type="pct"/>
          </w:tcPr>
          <w:p w14:paraId="7AE79B67">
            <w:pPr>
              <w:pStyle w:val="29"/>
              <w:spacing w:after="40"/>
              <w:rPr>
                <w:color w:val="auto"/>
                <w:sz w:val="20"/>
              </w:rPr>
            </w:pPr>
            <w:r>
              <w:rPr>
                <w:color w:val="auto"/>
                <w:sz w:val="20"/>
              </w:rPr>
              <w:t>Records each website sync in the warehouse</w:t>
            </w:r>
          </w:p>
        </w:tc>
      </w:tr>
      <w:tr w14:paraId="1D5633B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40" w:type="dxa"/>
            <w:left w:w="108" w:type="dxa"/>
            <w:bottom w:w="40" w:type="dxa"/>
            <w:right w:w="108" w:type="dxa"/>
          </w:tblCellMar>
        </w:tblPrEx>
        <w:tc>
          <w:tcPr>
            <w:tcW w:w="2500" w:type="pct"/>
          </w:tcPr>
          <w:p w14:paraId="4B861630">
            <w:pPr>
              <w:pStyle w:val="29"/>
              <w:spacing w:after="40"/>
              <w:rPr>
                <w:color w:val="auto"/>
                <w:sz w:val="20"/>
              </w:rPr>
            </w:pPr>
            <w:r>
              <w:rPr>
                <w:rStyle w:val="53"/>
                <w:color w:val="auto"/>
                <w:sz w:val="20"/>
              </w:rPr>
              <w:t>08_reports.sql</w:t>
            </w:r>
          </w:p>
        </w:tc>
        <w:tc>
          <w:tcPr>
            <w:tcW w:w="2500" w:type="pct"/>
          </w:tcPr>
          <w:p w14:paraId="720DFAAA">
            <w:pPr>
              <w:pStyle w:val="29"/>
              <w:spacing w:after="40"/>
              <w:rPr>
                <w:color w:val="auto"/>
                <w:sz w:val="20"/>
              </w:rPr>
            </w:pPr>
            <w:r>
              <w:rPr>
                <w:color w:val="auto"/>
                <w:sz w:val="20"/>
              </w:rPr>
              <w:t>Report views</w:t>
            </w:r>
          </w:p>
        </w:tc>
      </w:tr>
      <w:tr w14:paraId="39A7CF9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40" w:type="dxa"/>
            <w:left w:w="108" w:type="dxa"/>
            <w:bottom w:w="40" w:type="dxa"/>
            <w:right w:w="108" w:type="dxa"/>
          </w:tblCellMar>
        </w:tblPrEx>
        <w:tc>
          <w:tcPr>
            <w:tcW w:w="2500" w:type="pct"/>
          </w:tcPr>
          <w:p w14:paraId="0F099805">
            <w:pPr>
              <w:pStyle w:val="29"/>
              <w:spacing w:after="40"/>
              <w:rPr>
                <w:color w:val="auto"/>
                <w:sz w:val="20"/>
              </w:rPr>
            </w:pPr>
            <w:r>
              <w:rPr>
                <w:rStyle w:val="53"/>
                <w:color w:val="auto"/>
                <w:sz w:val="20"/>
              </w:rPr>
              <w:t>seed/01_reference_data.sql</w:t>
            </w:r>
          </w:p>
        </w:tc>
        <w:tc>
          <w:tcPr>
            <w:tcW w:w="2500" w:type="pct"/>
          </w:tcPr>
          <w:p w14:paraId="7E19AA51">
            <w:pPr>
              <w:pStyle w:val="29"/>
              <w:spacing w:after="40"/>
              <w:rPr>
                <w:color w:val="auto"/>
                <w:sz w:val="20"/>
              </w:rPr>
            </w:pPr>
            <w:r>
              <w:rPr>
                <w:color w:val="auto"/>
                <w:sz w:val="20"/>
              </w:rPr>
              <w:t>Stores, products, codes in each system, approved mappings</w:t>
            </w:r>
          </w:p>
        </w:tc>
      </w:tr>
      <w:tr w14:paraId="162FCE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40" w:type="dxa"/>
            <w:left w:w="108" w:type="dxa"/>
            <w:bottom w:w="40" w:type="dxa"/>
            <w:right w:w="108" w:type="dxa"/>
          </w:tblCellMar>
        </w:tblPrEx>
        <w:tc>
          <w:tcPr>
            <w:tcW w:w="2500" w:type="pct"/>
          </w:tcPr>
          <w:p w14:paraId="75D40941">
            <w:pPr>
              <w:pStyle w:val="29"/>
              <w:spacing w:after="40"/>
              <w:rPr>
                <w:color w:val="auto"/>
                <w:sz w:val="20"/>
              </w:rPr>
            </w:pPr>
            <w:r>
              <w:rPr>
                <w:rStyle w:val="53"/>
                <w:color w:val="auto"/>
                <w:sz w:val="20"/>
              </w:rPr>
              <w:t>seed/02_business_history.sql</w:t>
            </w:r>
          </w:p>
        </w:tc>
        <w:tc>
          <w:tcPr>
            <w:tcW w:w="2500" w:type="pct"/>
          </w:tcPr>
          <w:p w14:paraId="6273F94C">
            <w:pPr>
              <w:pStyle w:val="29"/>
              <w:spacing w:after="40"/>
              <w:rPr>
                <w:color w:val="auto"/>
                <w:sz w:val="20"/>
              </w:rPr>
            </w:pPr>
            <w:r>
              <w:rPr>
                <w:color w:val="auto"/>
                <w:sz w:val="20"/>
              </w:rPr>
              <w:t>Seven days of synthetic trading</w:t>
            </w:r>
          </w:p>
        </w:tc>
      </w:tr>
    </w:tbl>
    <w:p w14:paraId="42FF87DB">
      <w:pPr>
        <w:pStyle w:val="3"/>
        <w:rPr>
          <w:color w:val="auto"/>
        </w:rPr>
      </w:pPr>
      <w:r>
        <w:rPr>
          <w:color w:val="auto"/>
        </w:rPr>
        <w:t>For example, the fact table’s check constraint enforces the sign rules from Table 1:</w:t>
      </w:r>
    </w:p>
    <w:p w14:paraId="600BC7EE">
      <w:pPr>
        <w:pStyle w:val="54"/>
        <w:rPr>
          <w:color w:val="auto"/>
        </w:rPr>
      </w:pPr>
      <w:r>
        <w:rPr>
          <w:rStyle w:val="59"/>
          <w:color w:val="auto"/>
        </w:rPr>
        <w:t>CONSTRAINT</w:t>
      </w:r>
      <w:r>
        <w:rPr>
          <w:rStyle w:val="89"/>
          <w:color w:val="auto"/>
        </w:rPr>
        <w:t xml:space="preserve"> ck_fact_signs </w:t>
      </w:r>
      <w:r>
        <w:rPr>
          <w:rStyle w:val="59"/>
          <w:color w:val="auto"/>
        </w:rPr>
        <w:t>CHECK</w:t>
      </w:r>
      <w:r>
        <w:rPr>
          <w:rStyle w:val="89"/>
          <w:color w:val="auto"/>
        </w:rPr>
        <w:t xml:space="preserve"> (</w:t>
      </w:r>
      <w:r>
        <w:rPr>
          <w:color w:val="auto"/>
        </w:rPr>
        <w:br w:type="textWrapping"/>
      </w:r>
      <w:r>
        <w:rPr>
          <w:rStyle w:val="89"/>
          <w:color w:val="auto"/>
        </w:rPr>
        <w:t xml:space="preserve">       (event_type </w:t>
      </w:r>
      <w:r>
        <w:rPr>
          <w:rStyle w:val="79"/>
          <w:color w:val="auto"/>
        </w:rPr>
        <w:t>=</w:t>
      </w:r>
      <w:r>
        <w:rPr>
          <w:rStyle w:val="89"/>
          <w:color w:val="auto"/>
        </w:rPr>
        <w:t xml:space="preserve"> </w:t>
      </w:r>
      <w:r>
        <w:rPr>
          <w:rStyle w:val="67"/>
          <w:color w:val="auto"/>
        </w:rPr>
        <w:t>'store_sale'</w:t>
      </w:r>
      <w:r>
        <w:rPr>
          <w:rStyle w:val="89"/>
          <w:color w:val="auto"/>
        </w:rPr>
        <w:t xml:space="preserve">   </w:t>
      </w:r>
      <w:r>
        <w:rPr>
          <w:rStyle w:val="59"/>
          <w:color w:val="auto"/>
        </w:rPr>
        <w:t>AND</w:t>
      </w:r>
      <w:r>
        <w:rPr>
          <w:rStyle w:val="89"/>
          <w:color w:val="auto"/>
        </w:rPr>
        <w:t xml:space="preserve"> quantity_change </w:t>
      </w:r>
      <w:r>
        <w:rPr>
          <w:rStyle w:val="79"/>
          <w:color w:val="auto"/>
        </w:rPr>
        <w:t>=</w:t>
      </w:r>
      <w:r>
        <w:rPr>
          <w:rStyle w:val="89"/>
          <w:color w:val="auto"/>
        </w:rPr>
        <w:t xml:space="preserve"> </w:t>
      </w:r>
      <w:r>
        <w:rPr>
          <w:rStyle w:val="79"/>
          <w:color w:val="auto"/>
        </w:rPr>
        <w:t>-</w:t>
      </w:r>
      <w:r>
        <w:rPr>
          <w:rStyle w:val="89"/>
          <w:color w:val="auto"/>
        </w:rPr>
        <w:t xml:space="preserve">units </w:t>
      </w:r>
      <w:r>
        <w:rPr>
          <w:rStyle w:val="59"/>
          <w:color w:val="auto"/>
        </w:rPr>
        <w:t>AND</w:t>
      </w:r>
      <w:r>
        <w:rPr>
          <w:rStyle w:val="89"/>
          <w:color w:val="auto"/>
        </w:rPr>
        <w:t xml:space="preserve"> reserved_change </w:t>
      </w:r>
      <w:r>
        <w:rPr>
          <w:rStyle w:val="79"/>
          <w:color w:val="auto"/>
        </w:rPr>
        <w:t>=</w:t>
      </w:r>
      <w:r>
        <w:rPr>
          <w:rStyle w:val="89"/>
          <w:color w:val="auto"/>
        </w:rPr>
        <w:t xml:space="preserve"> </w:t>
      </w:r>
      <w:r>
        <w:rPr>
          <w:rStyle w:val="61"/>
          <w:color w:val="auto"/>
        </w:rPr>
        <w:t>0</w:t>
      </w:r>
      <w:r>
        <w:rPr>
          <w:rStyle w:val="89"/>
          <w:color w:val="auto"/>
        </w:rPr>
        <w:t xml:space="preserve">      </w:t>
      </w:r>
      <w:r>
        <w:rPr>
          <w:rStyle w:val="59"/>
          <w:color w:val="auto"/>
        </w:rPr>
        <w:t>AND</w:t>
      </w:r>
      <w:r>
        <w:rPr>
          <w:rStyle w:val="89"/>
          <w:color w:val="auto"/>
        </w:rPr>
        <w:t xml:space="preserve"> order_ref </w:t>
      </w:r>
      <w:r>
        <w:rPr>
          <w:rStyle w:val="59"/>
          <w:color w:val="auto"/>
        </w:rPr>
        <w:t>IS</w:t>
      </w:r>
      <w:r>
        <w:rPr>
          <w:rStyle w:val="89"/>
          <w:color w:val="auto"/>
        </w:rPr>
        <w:t xml:space="preserve"> </w:t>
      </w:r>
      <w:r>
        <w:rPr>
          <w:rStyle w:val="59"/>
          <w:color w:val="auto"/>
        </w:rPr>
        <w:t>NULL</w:t>
      </w:r>
      <w:r>
        <w:rPr>
          <w:rStyle w:val="89"/>
          <w:color w:val="auto"/>
        </w:rPr>
        <w:t>)</w:t>
      </w:r>
      <w:r>
        <w:rPr>
          <w:color w:val="auto"/>
        </w:rPr>
        <w:br w:type="textWrapping"/>
      </w:r>
      <w:r>
        <w:rPr>
          <w:rStyle w:val="89"/>
          <w:color w:val="auto"/>
        </w:rPr>
        <w:t xml:space="preserve">    </w:t>
      </w:r>
      <w:r>
        <w:rPr>
          <w:rStyle w:val="59"/>
          <w:color w:val="auto"/>
        </w:rPr>
        <w:t>OR</w:t>
      </w:r>
      <w:r>
        <w:rPr>
          <w:rStyle w:val="89"/>
          <w:color w:val="auto"/>
        </w:rPr>
        <w:t xml:space="preserve"> (event_type </w:t>
      </w:r>
      <w:r>
        <w:rPr>
          <w:rStyle w:val="79"/>
          <w:color w:val="auto"/>
        </w:rPr>
        <w:t>=</w:t>
      </w:r>
      <w:r>
        <w:rPr>
          <w:rStyle w:val="89"/>
          <w:color w:val="auto"/>
        </w:rPr>
        <w:t xml:space="preserve"> </w:t>
      </w:r>
      <w:r>
        <w:rPr>
          <w:rStyle w:val="67"/>
          <w:color w:val="auto"/>
        </w:rPr>
        <w:t>'delivery'</w:t>
      </w:r>
      <w:r>
        <w:rPr>
          <w:rStyle w:val="89"/>
          <w:color w:val="auto"/>
        </w:rPr>
        <w:t xml:space="preserve">     </w:t>
      </w:r>
      <w:r>
        <w:rPr>
          <w:rStyle w:val="59"/>
          <w:color w:val="auto"/>
        </w:rPr>
        <w:t>AND</w:t>
      </w:r>
      <w:r>
        <w:rPr>
          <w:rStyle w:val="89"/>
          <w:color w:val="auto"/>
        </w:rPr>
        <w:t xml:space="preserve"> quantity_change </w:t>
      </w:r>
      <w:r>
        <w:rPr>
          <w:rStyle w:val="79"/>
          <w:color w:val="auto"/>
        </w:rPr>
        <w:t>=</w:t>
      </w:r>
      <w:r>
        <w:rPr>
          <w:rStyle w:val="89"/>
          <w:color w:val="auto"/>
        </w:rPr>
        <w:t xml:space="preserve">  units </w:t>
      </w:r>
      <w:r>
        <w:rPr>
          <w:rStyle w:val="59"/>
          <w:color w:val="auto"/>
        </w:rPr>
        <w:t>AND</w:t>
      </w:r>
      <w:r>
        <w:rPr>
          <w:rStyle w:val="89"/>
          <w:color w:val="auto"/>
        </w:rPr>
        <w:t xml:space="preserve"> reserved_change </w:t>
      </w:r>
      <w:r>
        <w:rPr>
          <w:rStyle w:val="79"/>
          <w:color w:val="auto"/>
        </w:rPr>
        <w:t>=</w:t>
      </w:r>
      <w:r>
        <w:rPr>
          <w:rStyle w:val="89"/>
          <w:color w:val="auto"/>
        </w:rPr>
        <w:t xml:space="preserve"> </w:t>
      </w:r>
      <w:r>
        <w:rPr>
          <w:rStyle w:val="61"/>
          <w:color w:val="auto"/>
        </w:rPr>
        <w:t>0</w:t>
      </w:r>
      <w:r>
        <w:rPr>
          <w:rStyle w:val="89"/>
          <w:color w:val="auto"/>
        </w:rPr>
        <w:t xml:space="preserve">      </w:t>
      </w:r>
      <w:r>
        <w:rPr>
          <w:rStyle w:val="59"/>
          <w:color w:val="auto"/>
        </w:rPr>
        <w:t>AND</w:t>
      </w:r>
      <w:r>
        <w:rPr>
          <w:rStyle w:val="89"/>
          <w:color w:val="auto"/>
        </w:rPr>
        <w:t xml:space="preserve"> order_ref </w:t>
      </w:r>
      <w:r>
        <w:rPr>
          <w:rStyle w:val="59"/>
          <w:color w:val="auto"/>
        </w:rPr>
        <w:t>IS</w:t>
      </w:r>
      <w:r>
        <w:rPr>
          <w:rStyle w:val="89"/>
          <w:color w:val="auto"/>
        </w:rPr>
        <w:t xml:space="preserve"> </w:t>
      </w:r>
      <w:r>
        <w:rPr>
          <w:rStyle w:val="59"/>
          <w:color w:val="auto"/>
        </w:rPr>
        <w:t>NULL</w:t>
      </w:r>
      <w:r>
        <w:rPr>
          <w:rStyle w:val="89"/>
          <w:color w:val="auto"/>
        </w:rPr>
        <w:t>)</w:t>
      </w:r>
      <w:r>
        <w:rPr>
          <w:color w:val="auto"/>
        </w:rPr>
        <w:br w:type="textWrapping"/>
      </w:r>
      <w:r>
        <w:rPr>
          <w:rStyle w:val="89"/>
          <w:color w:val="auto"/>
        </w:rPr>
        <w:t xml:space="preserve">    </w:t>
      </w:r>
      <w:r>
        <w:rPr>
          <w:rStyle w:val="59"/>
          <w:color w:val="auto"/>
        </w:rPr>
        <w:t>OR</w:t>
      </w:r>
      <w:r>
        <w:rPr>
          <w:rStyle w:val="89"/>
          <w:color w:val="auto"/>
        </w:rPr>
        <w:t xml:space="preserve"> (event_type </w:t>
      </w:r>
      <w:r>
        <w:rPr>
          <w:rStyle w:val="79"/>
          <w:color w:val="auto"/>
        </w:rPr>
        <w:t>=</w:t>
      </w:r>
      <w:r>
        <w:rPr>
          <w:rStyle w:val="89"/>
          <w:color w:val="auto"/>
        </w:rPr>
        <w:t xml:space="preserve"> </w:t>
      </w:r>
      <w:r>
        <w:rPr>
          <w:rStyle w:val="67"/>
          <w:color w:val="auto"/>
        </w:rPr>
        <w:t>'reservation'</w:t>
      </w:r>
      <w:r>
        <w:rPr>
          <w:rStyle w:val="89"/>
          <w:color w:val="auto"/>
        </w:rPr>
        <w:t xml:space="preserve">  </w:t>
      </w:r>
      <w:r>
        <w:rPr>
          <w:rStyle w:val="59"/>
          <w:color w:val="auto"/>
        </w:rPr>
        <w:t>AND</w:t>
      </w:r>
      <w:r>
        <w:rPr>
          <w:rStyle w:val="89"/>
          <w:color w:val="auto"/>
        </w:rPr>
        <w:t xml:space="preserve"> quantity_change </w:t>
      </w:r>
      <w:r>
        <w:rPr>
          <w:rStyle w:val="79"/>
          <w:color w:val="auto"/>
        </w:rPr>
        <w:t>=</w:t>
      </w:r>
      <w:r>
        <w:rPr>
          <w:rStyle w:val="89"/>
          <w:color w:val="auto"/>
        </w:rPr>
        <w:t xml:space="preserve"> </w:t>
      </w:r>
      <w:r>
        <w:rPr>
          <w:rStyle w:val="79"/>
          <w:color w:val="auto"/>
        </w:rPr>
        <w:t>-</w:t>
      </w:r>
      <w:r>
        <w:rPr>
          <w:rStyle w:val="89"/>
          <w:color w:val="auto"/>
        </w:rPr>
        <w:t xml:space="preserve">units </w:t>
      </w:r>
      <w:r>
        <w:rPr>
          <w:rStyle w:val="59"/>
          <w:color w:val="auto"/>
        </w:rPr>
        <w:t>AND</w:t>
      </w:r>
      <w:r>
        <w:rPr>
          <w:rStyle w:val="89"/>
          <w:color w:val="auto"/>
        </w:rPr>
        <w:t xml:space="preserve"> reserved_change </w:t>
      </w:r>
      <w:r>
        <w:rPr>
          <w:rStyle w:val="79"/>
          <w:color w:val="auto"/>
        </w:rPr>
        <w:t>=</w:t>
      </w:r>
      <w:r>
        <w:rPr>
          <w:rStyle w:val="89"/>
          <w:color w:val="auto"/>
        </w:rPr>
        <w:t xml:space="preserve">  units </w:t>
      </w:r>
      <w:r>
        <w:rPr>
          <w:rStyle w:val="59"/>
          <w:color w:val="auto"/>
        </w:rPr>
        <w:t>AND</w:t>
      </w:r>
      <w:r>
        <w:rPr>
          <w:rStyle w:val="89"/>
          <w:color w:val="auto"/>
        </w:rPr>
        <w:t xml:space="preserve"> order_ref </w:t>
      </w:r>
      <w:r>
        <w:rPr>
          <w:rStyle w:val="59"/>
          <w:color w:val="auto"/>
        </w:rPr>
        <w:t>IS</w:t>
      </w:r>
      <w:r>
        <w:rPr>
          <w:rStyle w:val="89"/>
          <w:color w:val="auto"/>
        </w:rPr>
        <w:t xml:space="preserve"> </w:t>
      </w:r>
      <w:r>
        <w:rPr>
          <w:rStyle w:val="59"/>
          <w:color w:val="auto"/>
        </w:rPr>
        <w:t>NOT</w:t>
      </w:r>
      <w:r>
        <w:rPr>
          <w:rStyle w:val="89"/>
          <w:color w:val="auto"/>
        </w:rPr>
        <w:t xml:space="preserve"> </w:t>
      </w:r>
      <w:r>
        <w:rPr>
          <w:rStyle w:val="59"/>
          <w:color w:val="auto"/>
        </w:rPr>
        <w:t>NULL</w:t>
      </w:r>
      <w:r>
        <w:rPr>
          <w:rStyle w:val="89"/>
          <w:color w:val="auto"/>
        </w:rPr>
        <w:t>)</w:t>
      </w:r>
      <w:r>
        <w:rPr>
          <w:color w:val="auto"/>
        </w:rPr>
        <w:br w:type="textWrapping"/>
      </w:r>
      <w:r>
        <w:rPr>
          <w:rStyle w:val="89"/>
          <w:color w:val="auto"/>
        </w:rPr>
        <w:t xml:space="preserve">    </w:t>
      </w:r>
      <w:r>
        <w:rPr>
          <w:rStyle w:val="79"/>
          <w:color w:val="auto"/>
        </w:rPr>
        <w:t>..</w:t>
      </w:r>
      <w:r>
        <w:rPr>
          <w:rStyle w:val="89"/>
          <w:color w:val="auto"/>
        </w:rPr>
        <w:t>.</w:t>
      </w:r>
      <w:r>
        <w:rPr>
          <w:color w:val="auto"/>
        </w:rPr>
        <w:br w:type="textWrapping"/>
      </w:r>
      <w:r>
        <w:rPr>
          <w:rStyle w:val="89"/>
          <w:color w:val="auto"/>
        </w:rPr>
        <w:t>)</w:t>
      </w:r>
    </w:p>
    <w:p w14:paraId="3F01DA77">
      <w:pPr>
        <w:pStyle w:val="28"/>
        <w:rPr>
          <w:color w:val="auto"/>
        </w:rPr>
      </w:pPr>
      <w:r>
        <w:rPr>
          <w:color w:val="auto"/>
        </w:rPr>
        <w:t>The synthetic data covers five stores and 18 products, plus a new product (P019) whose codes are deliberately left unmapped. It is created through the source systems’ own functions, so every record passes through the ETL just as live data would. The seven days of trading include opening stock and restock deliveries, 28 till receipts, eight online bags (seven paid and one blocked by a stale website number), collections, a cancellation and two syncs. Dates are relative to the build day, so “time since last sync” and overdue orders always look realistic.</w:t>
      </w:r>
    </w:p>
    <w:tbl>
      <w:tblPr>
        <w:tblStyle w:val="22"/>
        <w:tblW w:w="5000" w:type="pct"/>
        <w:tblInd w:w="0" w:type="dxa"/>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shd w:val="clear" w:color="auto" w:fill="F5F5F5"/>
        <w:tblLayout w:type="fixed"/>
        <w:tblCellMar>
          <w:top w:w="0" w:type="dxa"/>
          <w:left w:w="108" w:type="dxa"/>
          <w:bottom w:w="0" w:type="dxa"/>
          <w:right w:w="108" w:type="dxa"/>
        </w:tblCellMar>
      </w:tblPr>
      <w:tblGrid>
        <w:gridCol w:w="9243"/>
      </w:tblGrid>
      <w:tr w14:paraId="49401EB0">
        <w:tblPrEx>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shd w:val="clear" w:color="auto" w:fill="F5F5F5"/>
          <w:tblCellMar>
            <w:top w:w="0" w:type="dxa"/>
            <w:left w:w="108" w:type="dxa"/>
            <w:bottom w:w="0" w:type="dxa"/>
            <w:right w:w="108" w:type="dxa"/>
          </w:tblCellMar>
        </w:tblPrEx>
        <w:trPr>
          <w:cantSplit/>
          <w:trHeight w:val="3000" w:hRule="exact"/>
        </w:trPr>
        <w:tc>
          <w:tcPr>
            <w:tcW w:w="9243" w:type="dxa"/>
            <w:shd w:val="clear" w:color="auto" w:fill="F5F5F5"/>
            <w:vAlign w:val="center"/>
          </w:tcPr>
          <w:p w14:paraId="2186BE52">
            <w:pPr>
              <w:pStyle w:val="57"/>
              <w:rPr>
                <w:color w:val="auto"/>
              </w:rPr>
            </w:pPr>
            <w:r>
              <w:rPr>
                <w:color w:val="auto"/>
              </w:rPr>
              <w:t>[Figure 9 — insert here]</w:t>
            </w:r>
          </w:p>
        </w:tc>
      </w:tr>
    </w:tbl>
    <w:p w14:paraId="4526DB60">
      <w:pPr>
        <w:pStyle w:val="57"/>
        <w:rPr>
          <w:color w:val="auto"/>
        </w:rPr>
      </w:pPr>
    </w:p>
    <w:p w14:paraId="7EBACB09">
      <w:pPr>
        <w:pStyle w:val="58"/>
        <w:rPr>
          <w:color w:val="auto"/>
        </w:rPr>
      </w:pPr>
      <w:r>
        <w:rPr>
          <w:color w:val="auto"/>
        </w:rPr>
        <w:t xml:space="preserve">TODO: Output of </w:t>
      </w:r>
      <w:r>
        <w:rPr>
          <w:rStyle w:val="53"/>
          <w:color w:val="auto"/>
        </w:rPr>
        <w:t>build.py</w:t>
      </w:r>
      <w:r>
        <w:rPr>
          <w:color w:val="auto"/>
        </w:rPr>
        <w:t>, ending with 155 records staged, 146 loaded, 0 rejected, 0 not reconciled.</w:t>
      </w:r>
    </w:p>
    <w:tbl>
      <w:tblPr>
        <w:tblStyle w:val="22"/>
        <w:tblW w:w="5000" w:type="pct"/>
        <w:tblInd w:w="0" w:type="dxa"/>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shd w:val="clear" w:color="auto" w:fill="F5F5F5"/>
        <w:tblLayout w:type="fixed"/>
        <w:tblCellMar>
          <w:top w:w="0" w:type="dxa"/>
          <w:left w:w="108" w:type="dxa"/>
          <w:bottom w:w="0" w:type="dxa"/>
          <w:right w:w="108" w:type="dxa"/>
        </w:tblCellMar>
      </w:tblPr>
      <w:tblGrid>
        <w:gridCol w:w="9243"/>
      </w:tblGrid>
      <w:tr w14:paraId="5D733A20">
        <w:tblPrEx>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shd w:val="clear" w:color="auto" w:fill="F5F5F5"/>
          <w:tblCellMar>
            <w:top w:w="0" w:type="dxa"/>
            <w:left w:w="108" w:type="dxa"/>
            <w:bottom w:w="0" w:type="dxa"/>
            <w:right w:w="108" w:type="dxa"/>
          </w:tblCellMar>
        </w:tblPrEx>
        <w:trPr>
          <w:cantSplit/>
          <w:trHeight w:val="3000" w:hRule="exact"/>
        </w:trPr>
        <w:tc>
          <w:tcPr>
            <w:tcW w:w="9243" w:type="dxa"/>
            <w:shd w:val="clear" w:color="auto" w:fill="F5F5F5"/>
            <w:vAlign w:val="center"/>
          </w:tcPr>
          <w:p w14:paraId="1A6CDD51">
            <w:pPr>
              <w:pStyle w:val="57"/>
              <w:rPr>
                <w:color w:val="auto"/>
              </w:rPr>
            </w:pPr>
            <w:r>
              <w:rPr>
                <w:color w:val="auto"/>
              </w:rPr>
              <w:t>[Figure 10 — insert here]</w:t>
            </w:r>
          </w:p>
        </w:tc>
      </w:tr>
    </w:tbl>
    <w:p w14:paraId="5F0C1E51">
      <w:pPr>
        <w:pStyle w:val="57"/>
        <w:rPr>
          <w:color w:val="auto"/>
        </w:rPr>
      </w:pPr>
    </w:p>
    <w:p w14:paraId="6EF3E19D">
      <w:pPr>
        <w:pStyle w:val="58"/>
        <w:rPr>
          <w:color w:val="auto"/>
        </w:rPr>
      </w:pPr>
      <w:r>
        <w:rPr>
          <w:color w:val="auto"/>
        </w:rPr>
        <w:t>TODO: One delivery traced from source to warehouse: cartons and UTC in staging, units and Sydney date in the fact table. Dashboard → record a delivery in the Business demo panel → View data trace.</w:t>
      </w:r>
    </w:p>
    <w:bookmarkEnd w:id="26"/>
    <w:p w14:paraId="1D233C39">
      <w:pPr>
        <w:pStyle w:val="4"/>
        <w:rPr>
          <w:color w:val="auto"/>
        </w:rPr>
      </w:pPr>
      <w:bookmarkStart w:id="27" w:name="_Toc242203710"/>
      <w:bookmarkStart w:id="28" w:name="reports-and-dashboard"/>
      <w:r>
        <w:rPr>
          <w:color w:val="auto"/>
        </w:rPr>
        <w:t>3.4 Reports and dashboard</w:t>
      </w:r>
      <w:bookmarkEnd w:id="27"/>
    </w:p>
    <w:p w14:paraId="6BCA17AB">
      <w:pPr>
        <w:pStyle w:val="28"/>
        <w:rPr>
          <w:color w:val="auto"/>
        </w:rPr>
      </w:pPr>
      <w:r>
        <w:rPr>
          <w:color w:val="auto"/>
        </w:rPr>
        <w:t xml:space="preserve">The reports are views in the </w:t>
      </w:r>
      <w:r>
        <w:rPr>
          <w:rStyle w:val="53"/>
          <w:color w:val="auto"/>
        </w:rPr>
        <w:t>dw</w:t>
      </w:r>
      <w:r>
        <w:rPr>
          <w:color w:val="auto"/>
        </w:rPr>
        <w:t xml:space="preserve"> schema. A local web dashboard presents them, and its Business demo panel records sales, deliveries, orders, syncs and mapping approvals through the source systems.</w:t>
      </w:r>
    </w:p>
    <w:p w14:paraId="42FAE778">
      <w:pPr>
        <w:pStyle w:val="3"/>
        <w:rPr>
          <w:color w:val="auto"/>
        </w:rPr>
      </w:pPr>
      <w:r>
        <w:rPr>
          <w:b/>
          <w:bCs/>
          <w:color w:val="auto"/>
        </w:rPr>
        <w:t>Report 1: current stock by store.</w:t>
      </w:r>
      <w:r>
        <w:rPr>
          <w:color w:val="auto"/>
        </w:rPr>
        <w:t xml:space="preserve"> Shelf and reserved units for each store and product, with low-stock flags. It also lists the stock events behind each number.</w:t>
      </w:r>
    </w:p>
    <w:tbl>
      <w:tblPr>
        <w:tblStyle w:val="22"/>
        <w:tblW w:w="5000" w:type="pct"/>
        <w:tblInd w:w="0" w:type="dxa"/>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shd w:val="clear" w:color="auto" w:fill="F5F5F5"/>
        <w:tblLayout w:type="fixed"/>
        <w:tblCellMar>
          <w:top w:w="0" w:type="dxa"/>
          <w:left w:w="108" w:type="dxa"/>
          <w:bottom w:w="0" w:type="dxa"/>
          <w:right w:w="108" w:type="dxa"/>
        </w:tblCellMar>
      </w:tblPr>
      <w:tblGrid>
        <w:gridCol w:w="9243"/>
      </w:tblGrid>
      <w:tr w14:paraId="4A092A7A">
        <w:tblPrEx>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tblCellMar>
            <w:top w:w="0" w:type="dxa"/>
            <w:left w:w="108" w:type="dxa"/>
            <w:bottom w:w="0" w:type="dxa"/>
            <w:right w:w="108" w:type="dxa"/>
          </w:tblCellMar>
        </w:tblPrEx>
        <w:trPr>
          <w:cantSplit/>
          <w:trHeight w:val="3000" w:hRule="exact"/>
        </w:trPr>
        <w:tc>
          <w:tcPr>
            <w:tcW w:w="9243" w:type="dxa"/>
            <w:shd w:val="clear" w:color="auto" w:fill="F5F5F5"/>
            <w:vAlign w:val="center"/>
          </w:tcPr>
          <w:p w14:paraId="7A1D1DB2">
            <w:pPr>
              <w:pStyle w:val="57"/>
              <w:rPr>
                <w:color w:val="auto"/>
              </w:rPr>
            </w:pPr>
            <w:r>
              <w:rPr>
                <w:color w:val="auto"/>
              </w:rPr>
              <w:t>[Figure 11 — insert here]</w:t>
            </w:r>
          </w:p>
        </w:tc>
      </w:tr>
    </w:tbl>
    <w:p w14:paraId="2E8EB33F">
      <w:pPr>
        <w:pStyle w:val="57"/>
        <w:rPr>
          <w:color w:val="auto"/>
        </w:rPr>
      </w:pPr>
    </w:p>
    <w:p w14:paraId="337F4AC2">
      <w:pPr>
        <w:pStyle w:val="58"/>
        <w:rPr>
          <w:color w:val="auto"/>
        </w:rPr>
      </w:pPr>
      <w:r>
        <w:rPr>
          <w:color w:val="auto"/>
        </w:rPr>
        <w:t>TODO: Dashboard → Store Inventory.</w:t>
      </w:r>
    </w:p>
    <w:p w14:paraId="3563CA45">
      <w:pPr>
        <w:pStyle w:val="3"/>
        <w:rPr>
          <w:color w:val="auto"/>
        </w:rPr>
      </w:pPr>
      <w:r>
        <w:rPr>
          <w:b/>
          <w:bCs/>
          <w:color w:val="auto"/>
        </w:rPr>
        <w:t>Report 2: website staleness.</w:t>
      </w:r>
      <w:r>
        <w:rPr>
          <w:color w:val="auto"/>
        </w:rPr>
        <w:t xml:space="preserve"> For each product, the website number next to the real combined stock, whether it is too high or too low, how long since the last sync, and what the last sync changed.</w:t>
      </w:r>
    </w:p>
    <w:tbl>
      <w:tblPr>
        <w:tblStyle w:val="22"/>
        <w:tblW w:w="5000" w:type="pct"/>
        <w:tblInd w:w="0" w:type="dxa"/>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shd w:val="clear" w:color="auto" w:fill="F5F5F5"/>
        <w:tblLayout w:type="fixed"/>
        <w:tblCellMar>
          <w:top w:w="0" w:type="dxa"/>
          <w:left w:w="108" w:type="dxa"/>
          <w:bottom w:w="0" w:type="dxa"/>
          <w:right w:w="108" w:type="dxa"/>
        </w:tblCellMar>
      </w:tblPr>
      <w:tblGrid>
        <w:gridCol w:w="9243"/>
      </w:tblGrid>
      <w:tr w14:paraId="7ABA29F5">
        <w:tblPrEx>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tblCellMar>
            <w:top w:w="0" w:type="dxa"/>
            <w:left w:w="108" w:type="dxa"/>
            <w:bottom w:w="0" w:type="dxa"/>
            <w:right w:w="108" w:type="dxa"/>
          </w:tblCellMar>
        </w:tblPrEx>
        <w:trPr>
          <w:cantSplit/>
          <w:trHeight w:val="3000" w:hRule="exact"/>
        </w:trPr>
        <w:tc>
          <w:tcPr>
            <w:tcW w:w="9243" w:type="dxa"/>
            <w:shd w:val="clear" w:color="auto" w:fill="F5F5F5"/>
            <w:vAlign w:val="center"/>
          </w:tcPr>
          <w:p w14:paraId="027C6EFA">
            <w:pPr>
              <w:pStyle w:val="57"/>
              <w:rPr>
                <w:color w:val="auto"/>
              </w:rPr>
            </w:pPr>
            <w:r>
              <w:rPr>
                <w:color w:val="auto"/>
              </w:rPr>
              <w:t>[Figure 12 — insert here]</w:t>
            </w:r>
          </w:p>
        </w:tc>
      </w:tr>
    </w:tbl>
    <w:p w14:paraId="50539215">
      <w:pPr>
        <w:pStyle w:val="57"/>
        <w:rPr>
          <w:color w:val="auto"/>
        </w:rPr>
      </w:pPr>
    </w:p>
    <w:p w14:paraId="31180160">
      <w:pPr>
        <w:pStyle w:val="58"/>
        <w:rPr>
          <w:color w:val="auto"/>
        </w:rPr>
      </w:pPr>
      <w:r>
        <w:rPr>
          <w:color w:val="auto"/>
        </w:rPr>
        <w:t>TODO: Dashboard → Website &amp; Sync, before a sync (some products “Website higher”). If space allows, a second screenshot after the sync.</w:t>
      </w:r>
    </w:p>
    <w:p w14:paraId="00F9A03D">
      <w:pPr>
        <w:pStyle w:val="3"/>
        <w:rPr>
          <w:color w:val="auto"/>
        </w:rPr>
      </w:pPr>
      <w:r>
        <w:rPr>
          <w:b/>
          <w:bCs/>
          <w:color w:val="auto"/>
        </w:rPr>
        <w:t>Report 3: items blocked at checkout.</w:t>
      </w:r>
      <w:r>
        <w:rPr>
          <w:color w:val="auto"/>
        </w:rPr>
        <w:t xml:space="preserve"> Each item that checkout blocked, the pickup store, what the website showed, what was really available and why it was blocked (a stale website number, or stock split across stores).</w:t>
      </w:r>
    </w:p>
    <w:tbl>
      <w:tblPr>
        <w:tblStyle w:val="22"/>
        <w:tblW w:w="5000" w:type="pct"/>
        <w:tblInd w:w="0" w:type="dxa"/>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shd w:val="clear" w:color="auto" w:fill="F5F5F5"/>
        <w:tblLayout w:type="fixed"/>
        <w:tblCellMar>
          <w:top w:w="0" w:type="dxa"/>
          <w:left w:w="108" w:type="dxa"/>
          <w:bottom w:w="0" w:type="dxa"/>
          <w:right w:w="108" w:type="dxa"/>
        </w:tblCellMar>
      </w:tblPr>
      <w:tblGrid>
        <w:gridCol w:w="9243"/>
      </w:tblGrid>
      <w:tr w14:paraId="6A5223C1">
        <w:tblPrEx>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shd w:val="clear" w:color="auto" w:fill="F5F5F5"/>
          <w:tblCellMar>
            <w:top w:w="0" w:type="dxa"/>
            <w:left w:w="108" w:type="dxa"/>
            <w:bottom w:w="0" w:type="dxa"/>
            <w:right w:w="108" w:type="dxa"/>
          </w:tblCellMar>
        </w:tblPrEx>
        <w:trPr>
          <w:cantSplit/>
          <w:trHeight w:val="3000" w:hRule="exact"/>
        </w:trPr>
        <w:tc>
          <w:tcPr>
            <w:tcW w:w="9243" w:type="dxa"/>
            <w:shd w:val="clear" w:color="auto" w:fill="F5F5F5"/>
            <w:vAlign w:val="center"/>
          </w:tcPr>
          <w:p w14:paraId="405725CE">
            <w:pPr>
              <w:pStyle w:val="57"/>
              <w:rPr>
                <w:color w:val="auto"/>
              </w:rPr>
            </w:pPr>
            <w:r>
              <w:rPr>
                <w:color w:val="auto"/>
              </w:rPr>
              <w:t>[Figure 13 — insert here]</w:t>
            </w:r>
          </w:p>
        </w:tc>
      </w:tr>
    </w:tbl>
    <w:p w14:paraId="0384E7E8">
      <w:pPr>
        <w:pStyle w:val="57"/>
        <w:rPr>
          <w:color w:val="auto"/>
        </w:rPr>
      </w:pPr>
    </w:p>
    <w:p w14:paraId="1CC1550C">
      <w:pPr>
        <w:pStyle w:val="58"/>
        <w:rPr>
          <w:color w:val="auto"/>
        </w:rPr>
      </w:pPr>
      <w:r>
        <w:rPr>
          <w:color w:val="auto"/>
        </w:rPr>
        <w:t>TODO: Dashboard → Checkout &amp; Fulfilment → Blocked items, with one row selected to show the source checkout record.</w:t>
      </w:r>
    </w:p>
    <w:p w14:paraId="3FE88150">
      <w:pPr>
        <w:pStyle w:val="3"/>
        <w:rPr>
          <w:color w:val="auto"/>
        </w:rPr>
      </w:pPr>
      <w:r>
        <w:rPr>
          <w:color w:val="auto"/>
        </w:rPr>
        <w:t>Three further reports support these: daily sales by store, channel and category; open click-and-collect orders and their transfer status; and a reconciliation of the warehouse against the store system, together with any rejected records.</w:t>
      </w:r>
    </w:p>
    <w:tbl>
      <w:tblPr>
        <w:tblStyle w:val="22"/>
        <w:tblW w:w="5000" w:type="pct"/>
        <w:tblInd w:w="0" w:type="dxa"/>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shd w:val="clear" w:color="auto" w:fill="F5F5F5"/>
        <w:tblLayout w:type="fixed"/>
        <w:tblCellMar>
          <w:top w:w="0" w:type="dxa"/>
          <w:left w:w="108" w:type="dxa"/>
          <w:bottom w:w="0" w:type="dxa"/>
          <w:right w:w="108" w:type="dxa"/>
        </w:tblCellMar>
      </w:tblPr>
      <w:tblGrid>
        <w:gridCol w:w="9243"/>
      </w:tblGrid>
      <w:tr w14:paraId="5382E414">
        <w:tblPrEx>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shd w:val="clear" w:color="auto" w:fill="F5F5F5"/>
          <w:tblCellMar>
            <w:top w:w="0" w:type="dxa"/>
            <w:left w:w="108" w:type="dxa"/>
            <w:bottom w:w="0" w:type="dxa"/>
            <w:right w:w="108" w:type="dxa"/>
          </w:tblCellMar>
        </w:tblPrEx>
        <w:trPr>
          <w:cantSplit/>
          <w:trHeight w:val="3000" w:hRule="exact"/>
        </w:trPr>
        <w:tc>
          <w:tcPr>
            <w:tcW w:w="9243" w:type="dxa"/>
            <w:shd w:val="clear" w:color="auto" w:fill="F5F5F5"/>
            <w:vAlign w:val="center"/>
          </w:tcPr>
          <w:p w14:paraId="4FBAFCD9">
            <w:pPr>
              <w:pStyle w:val="57"/>
              <w:rPr>
                <w:color w:val="auto"/>
              </w:rPr>
            </w:pPr>
            <w:r>
              <w:rPr>
                <w:color w:val="auto"/>
              </w:rPr>
              <w:t>[Figure 14 — insert here]</w:t>
            </w:r>
          </w:p>
        </w:tc>
      </w:tr>
    </w:tbl>
    <w:p w14:paraId="55B5AD58">
      <w:pPr>
        <w:pStyle w:val="57"/>
        <w:rPr>
          <w:color w:val="auto"/>
        </w:rPr>
      </w:pPr>
    </w:p>
    <w:p w14:paraId="35C7F1DF">
      <w:pPr>
        <w:pStyle w:val="58"/>
        <w:rPr>
          <w:color w:val="auto"/>
        </w:rPr>
      </w:pPr>
      <w:r>
        <w:rPr>
          <w:color w:val="auto"/>
        </w:rPr>
        <w:t>TODO: Dashboard → Integration &amp; Quality → Overview, showing the rejected P019 records and the reconciliation gap before the mapping is approved.</w:t>
      </w:r>
    </w:p>
    <w:bookmarkEnd w:id="28"/>
    <w:p w14:paraId="5296B6E0">
      <w:pPr>
        <w:pStyle w:val="4"/>
        <w:rPr>
          <w:color w:val="auto"/>
        </w:rPr>
      </w:pPr>
      <w:bookmarkStart w:id="29" w:name="_Toc242203711"/>
      <w:bookmarkStart w:id="30" w:name="end-to-end-testing"/>
      <w:r>
        <w:rPr>
          <w:color w:val="auto"/>
        </w:rPr>
        <w:t>3.5 End-to-end testing</w:t>
      </w:r>
      <w:bookmarkEnd w:id="29"/>
    </w:p>
    <w:p w14:paraId="7AF2986C">
      <w:pPr>
        <w:pStyle w:val="28"/>
        <w:rPr>
          <w:color w:val="auto"/>
        </w:rPr>
      </w:pPr>
      <w:r>
        <w:rPr>
          <w:color w:val="auto"/>
        </w:rPr>
        <w:t>Two automated test scripts build a separate test database and run scripted business events. The first checks every business rule, from stock updates and checkout to code rejection, the sync and reconciliation, and passes all 95 checks. The second tests the dashboard’s interface and passes all 53 checks.</w:t>
      </w:r>
    </w:p>
    <w:tbl>
      <w:tblPr>
        <w:tblStyle w:val="22"/>
        <w:tblW w:w="5000" w:type="pct"/>
        <w:tblInd w:w="0" w:type="dxa"/>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shd w:val="clear" w:color="auto" w:fill="F5F5F5"/>
        <w:tblLayout w:type="fixed"/>
        <w:tblCellMar>
          <w:top w:w="0" w:type="dxa"/>
          <w:left w:w="108" w:type="dxa"/>
          <w:bottom w:w="0" w:type="dxa"/>
          <w:right w:w="108" w:type="dxa"/>
        </w:tblCellMar>
      </w:tblPr>
      <w:tblGrid>
        <w:gridCol w:w="9243"/>
      </w:tblGrid>
      <w:tr w14:paraId="77350C8D">
        <w:tblPrEx>
          <w:tblBorders>
            <w:top w:val="double" w:color="A6A6A6" w:sz="4" w:space="0"/>
            <w:left w:val="double" w:color="A6A6A6" w:sz="4" w:space="0"/>
            <w:bottom w:val="double" w:color="A6A6A6" w:sz="4" w:space="0"/>
            <w:right w:val="double" w:color="A6A6A6" w:sz="4" w:space="0"/>
            <w:insideH w:val="none" w:color="auto" w:sz="0" w:space="0"/>
            <w:insideV w:val="none" w:color="auto" w:sz="0" w:space="0"/>
          </w:tblBorders>
          <w:tblCellMar>
            <w:top w:w="0" w:type="dxa"/>
            <w:left w:w="108" w:type="dxa"/>
            <w:bottom w:w="0" w:type="dxa"/>
            <w:right w:w="108" w:type="dxa"/>
          </w:tblCellMar>
        </w:tblPrEx>
        <w:trPr>
          <w:cantSplit/>
          <w:trHeight w:val="3000" w:hRule="exact"/>
        </w:trPr>
        <w:tc>
          <w:tcPr>
            <w:tcW w:w="9243" w:type="dxa"/>
            <w:shd w:val="clear" w:color="auto" w:fill="F5F5F5"/>
            <w:vAlign w:val="center"/>
          </w:tcPr>
          <w:p w14:paraId="2C7748EA">
            <w:pPr>
              <w:pStyle w:val="57"/>
              <w:rPr>
                <w:color w:val="auto"/>
              </w:rPr>
            </w:pPr>
            <w:r>
              <w:rPr>
                <w:color w:val="auto"/>
              </w:rPr>
              <w:t>[Figure 15 — insert here]</w:t>
            </w:r>
          </w:p>
        </w:tc>
      </w:tr>
    </w:tbl>
    <w:p w14:paraId="47CE5A66">
      <w:pPr>
        <w:pStyle w:val="57"/>
        <w:rPr>
          <w:color w:val="auto"/>
        </w:rPr>
      </w:pPr>
    </w:p>
    <w:p w14:paraId="526EDBF0">
      <w:pPr>
        <w:pStyle w:val="58"/>
        <w:rPr>
          <w:color w:val="auto"/>
        </w:rPr>
      </w:pPr>
      <w:r>
        <w:rPr>
          <w:color w:val="auto"/>
        </w:rPr>
        <w:t xml:space="preserve">TODO: Last lines of both test runs: </w:t>
      </w:r>
      <w:r>
        <w:rPr>
          <w:rStyle w:val="53"/>
          <w:color w:val="auto"/>
        </w:rPr>
        <w:t>PASS 95, FAIL 0</w:t>
      </w:r>
      <w:r>
        <w:rPr>
          <w:color w:val="auto"/>
        </w:rPr>
        <w:t xml:space="preserve"> and </w:t>
      </w:r>
      <w:r>
        <w:rPr>
          <w:rStyle w:val="53"/>
          <w:color w:val="auto"/>
        </w:rPr>
        <w:t>PASS 53, FAIL 0</w:t>
      </w:r>
      <w:r>
        <w:rPr>
          <w:color w:val="auto"/>
        </w:rPr>
        <w:t>.</w:t>
      </w:r>
    </w:p>
    <w:p w14:paraId="01F85AB6">
      <w:pPr>
        <w:pStyle w:val="3"/>
        <w:rPr>
          <w:color w:val="auto"/>
        </w:rPr>
      </w:pPr>
      <w:r>
        <w:rPr>
          <w:color w:val="auto"/>
        </w:rPr>
        <w:t>The demonstration video starts from a fresh build and goes through the main business cases. A three-item till sale lowers the shelf and appears in the warehouse at once, while the website number stays the same. A delivery of 5 cartons arrives as 20 units on a Sydney date. A checkout with two dog beds is blocked before payment because no single store has both. A customer chooses Bondi for pickup, and one item is transferred from Newtown. The staleness report shows the wrong website numbers, and the sync corrects them. The last aquarium kit sells in store, the website still shows one, and the next online checkout for it is blocked and recorded in Report 3. Finally, the new product P019 is delivered and sold before its codes are approved. Its records are rejected with a reason and load once the mapping is approved.</w:t>
      </w:r>
    </w:p>
    <w:p w14:paraId="2FBCA766">
      <w:pPr>
        <w:pStyle w:val="3"/>
        <w:rPr>
          <w:color w:val="auto"/>
        </w:rPr>
      </w:pPr>
      <w:r>
        <w:rPr>
          <w:color w:val="auto"/>
        </w:rPr>
        <w:t>Demo video: [TODO link]</w:t>
      </w:r>
    </w:p>
    <w:bookmarkEnd w:id="20"/>
    <w:bookmarkEnd w:id="30"/>
    <w:p w14:paraId="736EBF22">
      <w:pPr>
        <w:pStyle w:val="2"/>
        <w:rPr>
          <w:color w:val="auto"/>
        </w:rPr>
      </w:pPr>
      <w:bookmarkStart w:id="31" w:name="_Toc242203712"/>
      <w:bookmarkStart w:id="32" w:name="report-summary-and-conclusion"/>
      <w:r>
        <w:rPr>
          <w:color w:val="auto"/>
        </w:rPr>
        <w:t>4. Report Summary and Conclusion</w:t>
      </w:r>
      <w:bookmarkEnd w:id="31"/>
    </w:p>
    <w:p w14:paraId="7AA76C57">
      <w:pPr>
        <w:pStyle w:val="28"/>
        <w:rPr>
          <w:color w:val="auto"/>
        </w:rPr>
      </w:pPr>
      <w:r>
        <w:rPr>
          <w:color w:val="auto"/>
        </w:rPr>
        <w:t>PetHaven’s website stock number falls behind the stores between syncs, so customers try to buy items that no store can supply. This project designed and built a data solution for that problem.</w:t>
      </w:r>
    </w:p>
    <w:p w14:paraId="03F44284">
      <w:pPr>
        <w:pStyle w:val="3"/>
        <w:rPr>
          <w:color w:val="auto"/>
        </w:rPr>
      </w:pPr>
      <w:r>
        <w:rPr>
          <w:color w:val="auto"/>
        </w:rPr>
        <w:t>The design keeps the three operational systems separate, each with its own codes, units and time zone, and combines their data only in an integrated data warehouse. An ETL layer captures each source record unchanged, matches its codes through approved cross-references, converts cartons to units and UTC to Sydney time, and loads it as one row in a stock-event fact table with product, store and date dimensions. Records with unknown codes are rejected with a reason and load once a data steward approves the mapping. A manual sync refreshes the website number from real shelf totals in the store system. The warehouse does not set that number, but it records every sync so the reports can measure staleness. Checkout checks real stock before payment, so a stale number costs a sale rather than a refund.</w:t>
      </w:r>
    </w:p>
    <w:p w14:paraId="4CA86DA3">
      <w:pPr>
        <w:pStyle w:val="3"/>
        <w:rPr>
          <w:color w:val="auto"/>
        </w:rPr>
      </w:pPr>
      <w:r>
        <w:rPr>
          <w:color w:val="auto"/>
        </w:rPr>
        <w:t>The prototype runs in the Lab Environment and one script rebuilds it. It loads a week of synthetic trading, reconciles all 90 store and product combinations with the store system, and passes 95 behaviour checks and 53 dashboard checks. The reports and dashboard show current stock, website staleness and blocked checkouts, along with sales, open orders and data quality.</w:t>
      </w:r>
    </w:p>
    <w:p w14:paraId="7482DC14">
      <w:pPr>
        <w:pStyle w:val="3"/>
        <w:rPr>
          <w:color w:val="auto"/>
        </w:rPr>
      </w:pPr>
      <w:r>
        <w:rPr>
          <w:color w:val="auto"/>
        </w:rPr>
        <w:t>The main limitations are that all systems share one database, the ETL runs inside each source transaction, the sync is manual and old prices are not kept. A production version would use separate databases, asynchronous data capture, a scheduled sync and type 2 dimensions for prices.</w:t>
      </w:r>
    </w:p>
    <w:bookmarkEnd w:id="32"/>
    <w:p w14:paraId="5B41F19C">
      <w:pPr>
        <w:pStyle w:val="2"/>
        <w:rPr>
          <w:color w:val="auto"/>
        </w:rPr>
      </w:pPr>
      <w:bookmarkStart w:id="33" w:name="_Toc242203713"/>
      <w:bookmarkStart w:id="34" w:name="appendix"/>
      <w:r>
        <w:rPr>
          <w:color w:val="auto"/>
        </w:rPr>
        <w:t>Appendix</w:t>
      </w:r>
      <w:bookmarkEnd w:id="33"/>
    </w:p>
    <w:p w14:paraId="0BDEE1BD">
      <w:pPr>
        <w:pStyle w:val="58"/>
        <w:rPr>
          <w:color w:val="auto"/>
        </w:rPr>
      </w:pPr>
      <w:r>
        <w:rPr>
          <w:color w:val="auto"/>
        </w:rPr>
        <w:t>TODO A: individual contribution evidence (logbooks, emails, task allocation)</w:t>
      </w:r>
    </w:p>
    <w:p w14:paraId="0086D100">
      <w:pPr>
        <w:pStyle w:val="58"/>
        <w:rPr>
          <w:color w:val="auto"/>
        </w:rPr>
      </w:pPr>
      <w:r>
        <w:rPr>
          <w:color w:val="auto"/>
        </w:rPr>
        <w:t>TODO B: at least 3 meeting minutes on the Canvas template, signed by the tutor</w:t>
      </w:r>
    </w:p>
    <w:p w14:paraId="4F0CAF76">
      <w:pPr>
        <w:pStyle w:val="58"/>
        <w:rPr>
          <w:color w:val="auto"/>
        </w:rPr>
      </w:pPr>
      <w:r>
        <w:rPr>
          <w:color w:val="auto"/>
        </w:rPr>
        <w:t>TODO C: individual contribution form</w:t>
      </w:r>
    </w:p>
    <w:p w14:paraId="34B42021">
      <w:pPr>
        <w:pStyle w:val="58"/>
        <w:rPr>
          <w:color w:val="auto"/>
        </w:rPr>
      </w:pPr>
      <w:r>
        <w:rPr>
          <w:color w:val="auto"/>
        </w:rPr>
        <w:t>TODO D: group self-assessment (HD / D / C / P / F)</w:t>
      </w:r>
      <w:bookmarkEnd w:id="34"/>
    </w:p>
    <w:sectPr>
      <w:headerReference r:id="rId7" w:type="first"/>
      <w:footerReference r:id="rId10" w:type="first"/>
      <w:headerReference r:id="rId5" w:type="default"/>
      <w:footerReference r:id="rId8" w:type="default"/>
      <w:headerReference r:id="rId6" w:type="even"/>
      <w:footerReference r:id="rId9" w:type="even"/>
      <w:footnotePr>
        <w:numRestart w:val="eachSect"/>
      </w:footnotePr>
      <w:pgSz w:w="11907" w:h="16839"/>
      <w:pgMar w:top="1440" w:right="1440" w:bottom="1440" w:left="1440" w:header="720" w:footer="720" w:gutter="0"/>
      <w:cols w:space="720"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Aptos Display">
    <w:altName w:val="Segoe UI Variable Display"/>
    <w:panose1 w:val="00000000000000000000"/>
    <w:charset w:val="00"/>
    <w:family w:val="swiss"/>
    <w:pitch w:val="default"/>
    <w:sig w:usb0="00000000" w:usb1="00000000" w:usb2="00000000" w:usb3="00000000" w:csb0="0000019F" w:csb1="00000000"/>
  </w:font>
  <w:font w:name="Courier New">
    <w:panose1 w:val="02070309020205020404"/>
    <w:charset w:val="00"/>
    <w:family w:val="modern"/>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B59CC">
    <w:pPr>
      <w:pStyle w:val="16"/>
      <w:framePr w:wrap="around" w:vAnchor="text" w:hAnchor="margin" w:xAlign="center" w:y="1"/>
      <w:rPr>
        <w:rStyle w:val="24"/>
      </w:rPr>
    </w:pPr>
    <w:r>
      <w:rPr>
        <w:rStyle w:val="24"/>
      </w:rPr>
      <w:fldChar w:fldCharType="begin"/>
    </w:r>
    <w:r>
      <w:rPr>
        <w:rStyle w:val="24"/>
      </w:rPr>
      <w:instrText xml:space="preserve"> PAGE </w:instrText>
    </w:r>
    <w:r>
      <w:rPr>
        <w:rStyle w:val="24"/>
      </w:rPr>
      <w:fldChar w:fldCharType="separate"/>
    </w:r>
    <w:r>
      <w:rPr>
        <w:rStyle w:val="24"/>
      </w:rPr>
      <w:t>1</w:t>
    </w:r>
    <w:r>
      <w:rPr>
        <w:rStyle w:val="24"/>
      </w:rPr>
      <w:fldChar w:fldCharType="end"/>
    </w:r>
  </w:p>
  <w:p w14:paraId="7A71D02F">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0F4C7">
    <w:pPr>
      <w:pStyle w:val="16"/>
      <w:framePr w:wrap="around" w:vAnchor="text" w:hAnchor="margin" w:xAlign="center" w:y="1"/>
      <w:rPr>
        <w:rStyle w:val="24"/>
      </w:rPr>
    </w:pPr>
    <w:r>
      <w:rPr>
        <w:rStyle w:val="24"/>
      </w:rPr>
      <w:fldChar w:fldCharType="begin"/>
    </w:r>
    <w:r>
      <w:rPr>
        <w:rStyle w:val="24"/>
      </w:rPr>
      <w:instrText xml:space="preserve"> PAGE </w:instrText>
    </w:r>
    <w:r>
      <w:rPr>
        <w:rStyle w:val="24"/>
      </w:rPr>
      <w:fldChar w:fldCharType="separate"/>
    </w:r>
    <w:r>
      <w:rPr>
        <w:rStyle w:val="24"/>
      </w:rPr>
      <w:fldChar w:fldCharType="end"/>
    </w:r>
  </w:p>
  <w:p w14:paraId="5081D133">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DFF87">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429A5">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6CF96">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497EC">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2"/>
  </w:compat>
  <w:rsids>
    <w:rsidRoot w:val="00EA4C57"/>
    <w:rsid w:val="00127617"/>
    <w:rsid w:val="00495643"/>
    <w:rsid w:val="00E45529"/>
    <w:rsid w:val="00EA4C57"/>
    <w:rsid w:val="72F827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cs="Calibri" w:eastAsiaTheme="minorEastAsia"/>
      <w:color w:val="262626"/>
      <w:sz w:val="22"/>
      <w:szCs w:val="24"/>
      <w:lang w:val="en-US" w:eastAsia="zh-CN" w:bidi="ar-SA"/>
    </w:rPr>
  </w:style>
  <w:style w:type="paragraph" w:styleId="2">
    <w:name w:val="heading 1"/>
    <w:basedOn w:val="1"/>
    <w:next w:val="3"/>
    <w:link w:val="36"/>
    <w:qFormat/>
    <w:uiPriority w:val="9"/>
    <w:pPr>
      <w:keepNext/>
      <w:keepLines/>
      <w:pageBreakBefore/>
      <w:outlineLvl w:val="0"/>
    </w:pPr>
    <w:rPr>
      <w:rFonts w:eastAsiaTheme="majorEastAsia"/>
      <w:b/>
      <w:color w:val="1F3A5C"/>
      <w:sz w:val="32"/>
      <w:szCs w:val="40"/>
    </w:rPr>
  </w:style>
  <w:style w:type="paragraph" w:styleId="4">
    <w:name w:val="heading 2"/>
    <w:basedOn w:val="1"/>
    <w:next w:val="3"/>
    <w:link w:val="37"/>
    <w:semiHidden/>
    <w:unhideWhenUsed/>
    <w:qFormat/>
    <w:uiPriority w:val="9"/>
    <w:pPr>
      <w:keepNext/>
      <w:keepLines/>
      <w:spacing w:before="280"/>
      <w:outlineLvl w:val="1"/>
    </w:pPr>
    <w:rPr>
      <w:rFonts w:eastAsiaTheme="majorEastAsia"/>
      <w:b/>
      <w:color w:val="1F3A5C"/>
      <w:sz w:val="26"/>
      <w:szCs w:val="32"/>
    </w:rPr>
  </w:style>
  <w:style w:type="paragraph" w:styleId="5">
    <w:name w:val="heading 3"/>
    <w:basedOn w:val="1"/>
    <w:next w:val="3"/>
    <w:link w:val="38"/>
    <w:semiHidden/>
    <w:unhideWhenUsed/>
    <w:qFormat/>
    <w:uiPriority w:val="9"/>
    <w:pPr>
      <w:keepNext/>
      <w:keepLines/>
      <w:spacing w:before="280"/>
      <w:outlineLvl w:val="2"/>
    </w:pPr>
    <w:rPr>
      <w:rFonts w:eastAsiaTheme="majorEastAsia"/>
      <w:b/>
      <w:color w:val="1F3A5C"/>
      <w:sz w:val="24"/>
      <w:szCs w:val="28"/>
    </w:rPr>
  </w:style>
  <w:style w:type="paragraph" w:styleId="6">
    <w:name w:val="heading 4"/>
    <w:basedOn w:val="1"/>
    <w:next w:val="3"/>
    <w:link w:val="39"/>
    <w:semiHidden/>
    <w:unhideWhenUsed/>
    <w:qFormat/>
    <w:uiPriority w:val="9"/>
    <w:pPr>
      <w:keepNext/>
      <w:keepLines/>
      <w:spacing w:before="280"/>
      <w:outlineLvl w:val="3"/>
    </w:pPr>
    <w:rPr>
      <w:rFonts w:eastAsiaTheme="majorEastAsia"/>
      <w:b/>
      <w:iCs/>
      <w:color w:val="1F3A5C"/>
    </w:rPr>
  </w:style>
  <w:style w:type="paragraph" w:styleId="7">
    <w:name w:val="heading 5"/>
    <w:basedOn w:val="1"/>
    <w:next w:val="3"/>
    <w:link w:val="40"/>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1"/>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2"/>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3"/>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4"/>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3">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style>
  <w:style w:type="paragraph" w:styleId="12">
    <w:name w:val="caption"/>
    <w:basedOn w:val="1"/>
    <w:link w:val="26"/>
    <w:uiPriority w:val="0"/>
    <w:rPr>
      <w:i/>
    </w:rPr>
  </w:style>
  <w:style w:type="paragraph" w:styleId="13">
    <w:name w:val="Block Text"/>
    <w:basedOn w:val="3"/>
    <w:next w:val="3"/>
    <w:unhideWhenUsed/>
    <w:qFormat/>
    <w:uiPriority w:val="9"/>
    <w:pPr>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30"/>
    <w:qFormat/>
    <w:uiPriority w:val="10"/>
    <w:pPr>
      <w:spacing w:before="3600" w:after="360" w:line="240" w:lineRule="auto"/>
      <w:contextualSpacing/>
      <w:jc w:val="center"/>
    </w:pPr>
    <w:rPr>
      <w:rFonts w:eastAsiaTheme="majorEastAsia"/>
      <w:b/>
      <w:color w:val="1F3A5C"/>
      <w:sz w:val="48"/>
      <w:szCs w:val="56"/>
    </w:rPr>
  </w:style>
  <w:style w:type="paragraph" w:styleId="16">
    <w:name w:val="footer"/>
    <w:basedOn w:val="1"/>
    <w:link w:val="91"/>
    <w:qFormat/>
    <w:uiPriority w:val="0"/>
    <w:pPr>
      <w:tabs>
        <w:tab w:val="center" w:pos="4153"/>
        <w:tab w:val="right" w:pos="8306"/>
      </w:tabs>
      <w:snapToGrid w:val="0"/>
    </w:pPr>
    <w:rPr>
      <w:sz w:val="18"/>
      <w:szCs w:val="18"/>
    </w:rPr>
  </w:style>
  <w:style w:type="paragraph" w:styleId="17">
    <w:name w:val="header"/>
    <w:basedOn w:val="1"/>
    <w:link w:val="90"/>
    <w:uiPriority w:val="0"/>
    <w:pPr>
      <w:tabs>
        <w:tab w:val="center" w:pos="4153"/>
        <w:tab w:val="right" w:pos="8306"/>
      </w:tabs>
      <w:snapToGrid w:val="0"/>
      <w:jc w:val="center"/>
    </w:pPr>
    <w:rPr>
      <w:sz w:val="18"/>
      <w:szCs w:val="18"/>
    </w:rPr>
  </w:style>
  <w:style w:type="paragraph" w:styleId="18">
    <w:name w:val="toc 1"/>
    <w:basedOn w:val="1"/>
    <w:next w:val="1"/>
    <w:autoRedefine/>
    <w:qFormat/>
    <w:uiPriority w:val="39"/>
  </w:style>
  <w:style w:type="paragraph" w:styleId="19">
    <w:name w:val="Subtitle"/>
    <w:basedOn w:val="15"/>
    <w:next w:val="3"/>
    <w:link w:val="31"/>
    <w:qFormat/>
    <w:uiPriority w:val="11"/>
    <w:pPr>
      <w:spacing w:after="240"/>
    </w:pPr>
    <w:rPr>
      <w:color w:val="595959"/>
      <w:spacing w:val="15"/>
      <w:sz w:val="26"/>
      <w:szCs w:val="28"/>
    </w:rPr>
  </w:style>
  <w:style w:type="paragraph" w:styleId="20">
    <w:name w:val="footnote text"/>
    <w:basedOn w:val="1"/>
    <w:unhideWhenUsed/>
    <w:qFormat/>
    <w:uiPriority w:val="9"/>
  </w:style>
  <w:style w:type="paragraph" w:styleId="21">
    <w:name w:val="toc 2"/>
    <w:basedOn w:val="1"/>
    <w:next w:val="1"/>
    <w:autoRedefine/>
    <w:uiPriority w:val="39"/>
    <w:pPr>
      <w:ind w:left="420" w:leftChars="200"/>
    </w:pPr>
  </w:style>
  <w:style w:type="character" w:styleId="24">
    <w:name w:val="page number"/>
    <w:basedOn w:val="23"/>
    <w:uiPriority w:val="0"/>
  </w:style>
  <w:style w:type="character" w:styleId="25">
    <w:name w:val="Hyperlink"/>
    <w:basedOn w:val="26"/>
    <w:uiPriority w:val="99"/>
    <w:rPr>
      <w:color w:val="156082" w:themeColor="accent1"/>
    </w:rPr>
  </w:style>
  <w:style w:type="character" w:customStyle="1" w:styleId="26">
    <w:name w:val="题注 字符"/>
    <w:basedOn w:val="23"/>
    <w:link w:val="12"/>
    <w:uiPriority w:val="0"/>
  </w:style>
  <w:style w:type="character" w:styleId="27">
    <w:name w:val="footnote reference"/>
    <w:basedOn w:val="26"/>
    <w:uiPriority w:val="0"/>
    <w:rPr>
      <w:vertAlign w:val="superscript"/>
    </w:rPr>
  </w:style>
  <w:style w:type="paragraph" w:customStyle="1" w:styleId="28">
    <w:name w:val="First Paragraph"/>
    <w:basedOn w:val="3"/>
    <w:next w:val="3"/>
    <w:qFormat/>
    <w:uiPriority w:val="0"/>
  </w:style>
  <w:style w:type="paragraph" w:customStyle="1" w:styleId="29">
    <w:name w:val="Compact"/>
    <w:basedOn w:val="3"/>
    <w:qFormat/>
    <w:uiPriority w:val="0"/>
    <w:pPr>
      <w:spacing w:after="60"/>
    </w:pPr>
  </w:style>
  <w:style w:type="character" w:customStyle="1" w:styleId="30">
    <w:name w:val="标题 字符"/>
    <w:basedOn w:val="23"/>
    <w:link w:val="15"/>
    <w:uiPriority w:val="10"/>
    <w:rPr>
      <w:rFonts w:ascii="Calibri" w:hAnsi="Calibri" w:cs="Calibri" w:eastAsiaTheme="majorEastAsia"/>
      <w:b/>
      <w:color w:val="1F3A5C"/>
      <w:sz w:val="48"/>
      <w:szCs w:val="56"/>
    </w:rPr>
  </w:style>
  <w:style w:type="character" w:customStyle="1" w:styleId="31">
    <w:name w:val="副标题 字符"/>
    <w:basedOn w:val="23"/>
    <w:link w:val="19"/>
    <w:uiPriority w:val="11"/>
    <w:rPr>
      <w:rFonts w:ascii="Calibri" w:hAnsi="Calibri" w:cs="Calibri" w:eastAsiaTheme="majorEastAsia"/>
      <w:b/>
      <w:color w:val="595959"/>
      <w:spacing w:val="15"/>
      <w:sz w:val="26"/>
      <w:szCs w:val="28"/>
    </w:rPr>
  </w:style>
  <w:style w:type="paragraph" w:customStyle="1" w:styleId="32">
    <w:name w:val="Author"/>
    <w:basedOn w:val="15"/>
    <w:next w:val="3"/>
    <w:qFormat/>
    <w:uiPriority w:val="0"/>
    <w:pPr>
      <w:keepNext/>
      <w:keepLines/>
      <w:spacing w:after="240"/>
    </w:pPr>
    <w:rPr>
      <w:color w:val="595959"/>
      <w:sz w:val="26"/>
      <w:szCs w:val="24"/>
    </w:rPr>
  </w:style>
  <w:style w:type="paragraph" w:customStyle="1" w:styleId="33">
    <w:name w:val="Abstract Title"/>
    <w:basedOn w:val="1"/>
    <w:next w:val="34"/>
    <w:qFormat/>
    <w:uiPriority w:val="0"/>
    <w:pPr>
      <w:keepNext/>
      <w:keepLines/>
      <w:spacing w:before="300" w:after="0"/>
      <w:jc w:val="center"/>
    </w:pPr>
    <w:rPr>
      <w:b/>
      <w:sz w:val="20"/>
      <w:szCs w:val="20"/>
    </w:rPr>
  </w:style>
  <w:style w:type="paragraph" w:customStyle="1" w:styleId="34">
    <w:name w:val="Abstract"/>
    <w:basedOn w:val="1"/>
    <w:next w:val="3"/>
    <w:qFormat/>
    <w:uiPriority w:val="0"/>
    <w:pPr>
      <w:keepNext/>
      <w:keepLines/>
      <w:spacing w:before="100" w:after="300"/>
    </w:pPr>
    <w:rPr>
      <w:sz w:val="20"/>
      <w:szCs w:val="20"/>
    </w:rPr>
  </w:style>
  <w:style w:type="paragraph" w:customStyle="1" w:styleId="35">
    <w:name w:val="Bibliography"/>
    <w:basedOn w:val="1"/>
    <w:qFormat/>
    <w:uiPriority w:val="0"/>
  </w:style>
  <w:style w:type="character" w:customStyle="1" w:styleId="36">
    <w:name w:val="标题 1 字符"/>
    <w:basedOn w:val="23"/>
    <w:link w:val="2"/>
    <w:uiPriority w:val="9"/>
    <w:rPr>
      <w:rFonts w:ascii="Calibri" w:hAnsi="Calibri" w:cs="Calibri" w:eastAsiaTheme="majorEastAsia"/>
      <w:b/>
      <w:color w:val="1F3A5C"/>
      <w:sz w:val="32"/>
      <w:szCs w:val="40"/>
    </w:rPr>
  </w:style>
  <w:style w:type="character" w:customStyle="1" w:styleId="37">
    <w:name w:val="标题 2 字符"/>
    <w:basedOn w:val="23"/>
    <w:link w:val="4"/>
    <w:semiHidden/>
    <w:uiPriority w:val="9"/>
    <w:rPr>
      <w:rFonts w:ascii="Calibri" w:hAnsi="Calibri" w:cs="Calibri" w:eastAsiaTheme="majorEastAsia"/>
      <w:b/>
      <w:color w:val="1F3A5C"/>
      <w:sz w:val="26"/>
      <w:szCs w:val="32"/>
    </w:rPr>
  </w:style>
  <w:style w:type="character" w:customStyle="1" w:styleId="38">
    <w:name w:val="标题 3 字符"/>
    <w:basedOn w:val="23"/>
    <w:link w:val="5"/>
    <w:semiHidden/>
    <w:uiPriority w:val="9"/>
    <w:rPr>
      <w:rFonts w:ascii="Calibri" w:hAnsi="Calibri" w:cs="Calibri" w:eastAsiaTheme="majorEastAsia"/>
      <w:b/>
      <w:color w:val="1F3A5C"/>
      <w:szCs w:val="28"/>
    </w:rPr>
  </w:style>
  <w:style w:type="character" w:customStyle="1" w:styleId="39">
    <w:name w:val="标题 4 字符"/>
    <w:basedOn w:val="23"/>
    <w:link w:val="6"/>
    <w:semiHidden/>
    <w:uiPriority w:val="9"/>
    <w:rPr>
      <w:rFonts w:ascii="Calibri" w:hAnsi="Calibri" w:cs="Calibri" w:eastAsiaTheme="majorEastAsia"/>
      <w:b/>
      <w:iCs/>
      <w:color w:val="1F3A5C"/>
      <w:sz w:val="22"/>
    </w:rPr>
  </w:style>
  <w:style w:type="character" w:customStyle="1" w:styleId="40">
    <w:name w:val="标题 5 字符"/>
    <w:basedOn w:val="23"/>
    <w:link w:val="7"/>
    <w:semiHidden/>
    <w:uiPriority w:val="9"/>
    <w:rPr>
      <w:rFonts w:eastAsiaTheme="majorEastAsia" w:cstheme="majorBidi"/>
      <w:color w:val="0F4761" w:themeColor="accent1" w:themeShade="BF"/>
    </w:rPr>
  </w:style>
  <w:style w:type="character" w:customStyle="1" w:styleId="41">
    <w:name w:val="标题 6 字符"/>
    <w:basedOn w:val="23"/>
    <w:link w:val="8"/>
    <w:semiHidden/>
    <w:uiPriority w:val="9"/>
    <w:rPr>
      <w:rFonts w:eastAsiaTheme="majorEastAsia" w:cstheme="majorBidi"/>
      <w:i/>
      <w:iCs/>
      <w:color w:val="585858" w:themeColor="text1" w:themeTint="A6"/>
    </w:rPr>
  </w:style>
  <w:style w:type="character" w:customStyle="1" w:styleId="42">
    <w:name w:val="标题 7 字符"/>
    <w:basedOn w:val="23"/>
    <w:link w:val="9"/>
    <w:semiHidden/>
    <w:uiPriority w:val="9"/>
    <w:rPr>
      <w:rFonts w:eastAsiaTheme="majorEastAsia" w:cstheme="majorBidi"/>
      <w:color w:val="585858" w:themeColor="text1" w:themeTint="A6"/>
    </w:rPr>
  </w:style>
  <w:style w:type="character" w:customStyle="1" w:styleId="43">
    <w:name w:val="标题 8 字符"/>
    <w:basedOn w:val="23"/>
    <w:link w:val="10"/>
    <w:semiHidden/>
    <w:uiPriority w:val="9"/>
    <w:rPr>
      <w:rFonts w:eastAsiaTheme="majorEastAsia" w:cstheme="majorBidi"/>
      <w:i/>
      <w:iCs/>
      <w:color w:val="262626" w:themeColor="text1" w:themeTint="D8"/>
    </w:rPr>
  </w:style>
  <w:style w:type="character" w:customStyle="1" w:styleId="44">
    <w:name w:val="标题 9 字符"/>
    <w:basedOn w:val="23"/>
    <w:link w:val="11"/>
    <w:semiHidden/>
    <w:uiPriority w:val="9"/>
    <w:rPr>
      <w:rFonts w:eastAsiaTheme="majorEastAsia" w:cstheme="majorBidi"/>
      <w:color w:val="262626" w:themeColor="text1" w:themeTint="D8"/>
    </w:rPr>
  </w:style>
  <w:style w:type="paragraph" w:customStyle="1" w:styleId="45">
    <w:name w:val="Footnote Block Text"/>
    <w:basedOn w:val="20"/>
    <w:next w:val="20"/>
    <w:unhideWhenUsed/>
    <w:qFormat/>
    <w:uiPriority w:val="9"/>
    <w:pPr>
      <w:spacing w:before="100" w:after="100"/>
      <w:ind w:left="480" w:right="480"/>
    </w:pPr>
  </w:style>
  <w:style w:type="table" w:customStyle="1" w:styleId="46">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7">
    <w:name w:val="Definition Term"/>
    <w:basedOn w:val="1"/>
    <w:next w:val="48"/>
    <w:uiPriority w:val="0"/>
    <w:pPr>
      <w:keepNext/>
      <w:keepLines/>
      <w:spacing w:after="0"/>
    </w:pPr>
    <w:rPr>
      <w:b/>
    </w:rPr>
  </w:style>
  <w:style w:type="paragraph" w:customStyle="1" w:styleId="48">
    <w:name w:val="Definition"/>
    <w:basedOn w:val="1"/>
    <w:uiPriority w:val="0"/>
  </w:style>
  <w:style w:type="paragraph" w:customStyle="1" w:styleId="49">
    <w:name w:val="Table Caption"/>
    <w:basedOn w:val="12"/>
    <w:uiPriority w:val="0"/>
    <w:pPr>
      <w:keepNext/>
    </w:pPr>
  </w:style>
  <w:style w:type="paragraph" w:customStyle="1" w:styleId="50">
    <w:name w:val="Image Caption"/>
    <w:basedOn w:val="12"/>
    <w:uiPriority w:val="0"/>
  </w:style>
  <w:style w:type="paragraph" w:customStyle="1" w:styleId="51">
    <w:name w:val="Figure"/>
    <w:basedOn w:val="1"/>
    <w:uiPriority w:val="0"/>
  </w:style>
  <w:style w:type="paragraph" w:customStyle="1" w:styleId="52">
    <w:name w:val="Captioned Figure"/>
    <w:basedOn w:val="51"/>
    <w:uiPriority w:val="0"/>
    <w:pPr>
      <w:keepNext/>
    </w:pPr>
  </w:style>
  <w:style w:type="character" w:customStyle="1" w:styleId="53">
    <w:name w:val="Verbatim Char"/>
    <w:basedOn w:val="26"/>
    <w:link w:val="54"/>
    <w:uiPriority w:val="0"/>
    <w:rPr>
      <w:rFonts w:ascii="Consolas" w:hAnsi="Consolas" w:cs="Calibri"/>
      <w:color w:val="262626"/>
      <w:sz w:val="18"/>
      <w:shd w:val="clear" w:color="auto" w:fill="F2F2F2"/>
    </w:rPr>
  </w:style>
  <w:style w:type="paragraph" w:customStyle="1" w:styleId="54">
    <w:name w:val="Source Code"/>
    <w:basedOn w:val="1"/>
    <w:link w:val="53"/>
    <w:qFormat/>
    <w:uiPriority w:val="0"/>
    <w:pPr>
      <w:shd w:val="clear" w:color="auto" w:fill="F2F2F2"/>
      <w:wordWrap w:val="0"/>
      <w:spacing w:after="0" w:line="240" w:lineRule="auto"/>
    </w:pPr>
    <w:rPr>
      <w:rFonts w:ascii="Consolas" w:hAnsi="Consolas"/>
      <w:sz w:val="18"/>
    </w:rPr>
  </w:style>
  <w:style w:type="character" w:customStyle="1" w:styleId="55">
    <w:name w:val="Section Number"/>
    <w:basedOn w:val="26"/>
    <w:uiPriority w:val="0"/>
  </w:style>
  <w:style w:type="paragraph" w:customStyle="1" w:styleId="56">
    <w:name w:val="TOC Heading"/>
    <w:basedOn w:val="2"/>
    <w:next w:val="3"/>
    <w:unhideWhenUsed/>
    <w:qFormat/>
    <w:uiPriority w:val="39"/>
    <w:pPr>
      <w:spacing w:before="240" w:line="259" w:lineRule="auto"/>
      <w:outlineLvl w:val="9"/>
    </w:pPr>
    <w:rPr>
      <w:rFonts w:asciiTheme="majorHAnsi" w:hAnsiTheme="majorHAnsi" w:cstheme="majorBidi"/>
      <w:color w:val="0F4761" w:themeColor="accent1" w:themeShade="BF"/>
    </w:rPr>
  </w:style>
  <w:style w:type="paragraph" w:customStyle="1" w:styleId="57">
    <w:name w:val="Figure Placeholder"/>
    <w:basedOn w:val="3"/>
    <w:qFormat/>
    <w:uiPriority w:val="0"/>
    <w:pPr>
      <w:keepNext/>
      <w:spacing w:after="0"/>
      <w:jc w:val="center"/>
    </w:pPr>
    <w:rPr>
      <w:b/>
      <w:color w:val="7F7F7F"/>
      <w:sz w:val="24"/>
    </w:rPr>
  </w:style>
  <w:style w:type="paragraph" w:customStyle="1" w:styleId="58">
    <w:name w:val="TODO Note"/>
    <w:basedOn w:val="3"/>
    <w:qFormat/>
    <w:uiPriority w:val="0"/>
    <w:pPr>
      <w:spacing w:before="40" w:after="200"/>
    </w:pPr>
    <w:rPr>
      <w:i/>
      <w:color w:val="C05500"/>
      <w:sz w:val="20"/>
    </w:rPr>
  </w:style>
  <w:style w:type="character" w:customStyle="1" w:styleId="59">
    <w:name w:val="KeywordTok"/>
    <w:basedOn w:val="53"/>
    <w:uiPriority w:val="0"/>
    <w:rPr>
      <w:rFonts w:ascii="Consolas" w:hAnsi="Consolas" w:cs="Calibri"/>
      <w:b/>
      <w:color w:val="007020"/>
      <w:sz w:val="18"/>
      <w:shd w:val="clear" w:color="auto" w:fill="F2F2F2"/>
    </w:rPr>
  </w:style>
  <w:style w:type="character" w:customStyle="1" w:styleId="60">
    <w:name w:val="DataTypeTok"/>
    <w:basedOn w:val="53"/>
    <w:qFormat/>
    <w:uiPriority w:val="0"/>
    <w:rPr>
      <w:rFonts w:ascii="Consolas" w:hAnsi="Consolas" w:cs="Calibri"/>
      <w:color w:val="902000"/>
      <w:sz w:val="18"/>
      <w:shd w:val="clear" w:color="auto" w:fill="F2F2F2"/>
    </w:rPr>
  </w:style>
  <w:style w:type="character" w:customStyle="1" w:styleId="61">
    <w:name w:val="DecValTok"/>
    <w:basedOn w:val="53"/>
    <w:qFormat/>
    <w:uiPriority w:val="0"/>
    <w:rPr>
      <w:rFonts w:ascii="Consolas" w:hAnsi="Consolas" w:cs="Calibri"/>
      <w:color w:val="40A070"/>
      <w:sz w:val="18"/>
      <w:shd w:val="clear" w:color="auto" w:fill="F2F2F2"/>
    </w:rPr>
  </w:style>
  <w:style w:type="character" w:customStyle="1" w:styleId="62">
    <w:name w:val="BaseNTok"/>
    <w:basedOn w:val="53"/>
    <w:uiPriority w:val="0"/>
    <w:rPr>
      <w:rFonts w:ascii="Consolas" w:hAnsi="Consolas" w:cs="Calibri"/>
      <w:color w:val="40A070"/>
      <w:sz w:val="18"/>
      <w:shd w:val="clear" w:color="auto" w:fill="F2F2F2"/>
    </w:rPr>
  </w:style>
  <w:style w:type="character" w:customStyle="1" w:styleId="63">
    <w:name w:val="FloatTok"/>
    <w:basedOn w:val="53"/>
    <w:qFormat/>
    <w:uiPriority w:val="0"/>
    <w:rPr>
      <w:rFonts w:ascii="Consolas" w:hAnsi="Consolas" w:cs="Calibri"/>
      <w:color w:val="40A070"/>
      <w:sz w:val="18"/>
      <w:shd w:val="clear" w:color="auto" w:fill="F2F2F2"/>
    </w:rPr>
  </w:style>
  <w:style w:type="character" w:customStyle="1" w:styleId="64">
    <w:name w:val="ConstantTok"/>
    <w:basedOn w:val="53"/>
    <w:qFormat/>
    <w:uiPriority w:val="0"/>
    <w:rPr>
      <w:rFonts w:ascii="Consolas" w:hAnsi="Consolas" w:cs="Calibri"/>
      <w:color w:val="880000"/>
      <w:sz w:val="18"/>
      <w:shd w:val="clear" w:color="auto" w:fill="F2F2F2"/>
    </w:rPr>
  </w:style>
  <w:style w:type="character" w:customStyle="1" w:styleId="65">
    <w:name w:val="CharTok"/>
    <w:basedOn w:val="53"/>
    <w:qFormat/>
    <w:uiPriority w:val="0"/>
    <w:rPr>
      <w:rFonts w:ascii="Consolas" w:hAnsi="Consolas" w:cs="Calibri"/>
      <w:color w:val="4070A0"/>
      <w:sz w:val="18"/>
      <w:shd w:val="clear" w:color="auto" w:fill="F2F2F2"/>
    </w:rPr>
  </w:style>
  <w:style w:type="character" w:customStyle="1" w:styleId="66">
    <w:name w:val="SpecialCharTok"/>
    <w:basedOn w:val="53"/>
    <w:qFormat/>
    <w:uiPriority w:val="0"/>
    <w:rPr>
      <w:rFonts w:ascii="Consolas" w:hAnsi="Consolas" w:cs="Calibri"/>
      <w:color w:val="4070A0"/>
      <w:sz w:val="18"/>
      <w:shd w:val="clear" w:color="auto" w:fill="F2F2F2"/>
    </w:rPr>
  </w:style>
  <w:style w:type="character" w:customStyle="1" w:styleId="67">
    <w:name w:val="StringTok"/>
    <w:basedOn w:val="53"/>
    <w:qFormat/>
    <w:uiPriority w:val="0"/>
    <w:rPr>
      <w:rFonts w:ascii="Consolas" w:hAnsi="Consolas" w:cs="Calibri"/>
      <w:color w:val="4070A0"/>
      <w:sz w:val="18"/>
      <w:shd w:val="clear" w:color="auto" w:fill="F2F2F2"/>
    </w:rPr>
  </w:style>
  <w:style w:type="character" w:customStyle="1" w:styleId="68">
    <w:name w:val="VerbatimStringTok"/>
    <w:basedOn w:val="53"/>
    <w:qFormat/>
    <w:uiPriority w:val="0"/>
    <w:rPr>
      <w:rFonts w:ascii="Consolas" w:hAnsi="Consolas" w:cs="Calibri"/>
      <w:color w:val="4070A0"/>
      <w:sz w:val="18"/>
      <w:shd w:val="clear" w:color="auto" w:fill="F2F2F2"/>
    </w:rPr>
  </w:style>
  <w:style w:type="character" w:customStyle="1" w:styleId="69">
    <w:name w:val="SpecialStringTok"/>
    <w:basedOn w:val="53"/>
    <w:qFormat/>
    <w:uiPriority w:val="0"/>
    <w:rPr>
      <w:rFonts w:ascii="Consolas" w:hAnsi="Consolas" w:cs="Calibri"/>
      <w:color w:val="BB6688"/>
      <w:sz w:val="18"/>
      <w:shd w:val="clear" w:color="auto" w:fill="F2F2F2"/>
    </w:rPr>
  </w:style>
  <w:style w:type="character" w:customStyle="1" w:styleId="70">
    <w:name w:val="ImportTok"/>
    <w:basedOn w:val="53"/>
    <w:qFormat/>
    <w:uiPriority w:val="0"/>
    <w:rPr>
      <w:rFonts w:ascii="Consolas" w:hAnsi="Consolas" w:cs="Calibri"/>
      <w:b/>
      <w:color w:val="008000"/>
      <w:sz w:val="18"/>
      <w:shd w:val="clear" w:color="auto" w:fill="F2F2F2"/>
    </w:rPr>
  </w:style>
  <w:style w:type="character" w:customStyle="1" w:styleId="71">
    <w:name w:val="CommentTok"/>
    <w:basedOn w:val="53"/>
    <w:uiPriority w:val="0"/>
    <w:rPr>
      <w:rFonts w:ascii="Consolas" w:hAnsi="Consolas" w:cs="Calibri"/>
      <w:i/>
      <w:color w:val="60A0B0"/>
      <w:sz w:val="18"/>
      <w:shd w:val="clear" w:color="auto" w:fill="F2F2F2"/>
    </w:rPr>
  </w:style>
  <w:style w:type="character" w:customStyle="1" w:styleId="72">
    <w:name w:val="DocumentationTok"/>
    <w:basedOn w:val="53"/>
    <w:qFormat/>
    <w:uiPriority w:val="0"/>
    <w:rPr>
      <w:rFonts w:ascii="Consolas" w:hAnsi="Consolas" w:cs="Calibri"/>
      <w:i/>
      <w:color w:val="BA2121"/>
      <w:sz w:val="18"/>
      <w:shd w:val="clear" w:color="auto" w:fill="F2F2F2"/>
    </w:rPr>
  </w:style>
  <w:style w:type="character" w:customStyle="1" w:styleId="73">
    <w:name w:val="AnnotationTok"/>
    <w:basedOn w:val="53"/>
    <w:qFormat/>
    <w:uiPriority w:val="0"/>
    <w:rPr>
      <w:rFonts w:ascii="Consolas" w:hAnsi="Consolas" w:cs="Calibri"/>
      <w:b/>
      <w:i/>
      <w:color w:val="60A0B0"/>
      <w:sz w:val="18"/>
      <w:shd w:val="clear" w:color="auto" w:fill="F2F2F2"/>
    </w:rPr>
  </w:style>
  <w:style w:type="character" w:customStyle="1" w:styleId="74">
    <w:name w:val="CommentVarTok"/>
    <w:basedOn w:val="53"/>
    <w:qFormat/>
    <w:uiPriority w:val="0"/>
    <w:rPr>
      <w:rFonts w:ascii="Consolas" w:hAnsi="Consolas" w:cs="Calibri"/>
      <w:b/>
      <w:i/>
      <w:color w:val="60A0B0"/>
      <w:sz w:val="18"/>
      <w:shd w:val="clear" w:color="auto" w:fill="F2F2F2"/>
    </w:rPr>
  </w:style>
  <w:style w:type="character" w:customStyle="1" w:styleId="75">
    <w:name w:val="OtherTok"/>
    <w:basedOn w:val="53"/>
    <w:uiPriority w:val="0"/>
    <w:rPr>
      <w:rFonts w:ascii="Consolas" w:hAnsi="Consolas" w:cs="Calibri"/>
      <w:color w:val="007020"/>
      <w:sz w:val="18"/>
      <w:shd w:val="clear" w:color="auto" w:fill="F2F2F2"/>
    </w:rPr>
  </w:style>
  <w:style w:type="character" w:customStyle="1" w:styleId="76">
    <w:name w:val="FunctionTok"/>
    <w:basedOn w:val="53"/>
    <w:uiPriority w:val="0"/>
    <w:rPr>
      <w:rFonts w:ascii="Consolas" w:hAnsi="Consolas" w:cs="Calibri"/>
      <w:color w:val="06287E"/>
      <w:sz w:val="18"/>
      <w:shd w:val="clear" w:color="auto" w:fill="F2F2F2"/>
    </w:rPr>
  </w:style>
  <w:style w:type="character" w:customStyle="1" w:styleId="77">
    <w:name w:val="VariableTok"/>
    <w:basedOn w:val="53"/>
    <w:uiPriority w:val="0"/>
    <w:rPr>
      <w:rFonts w:ascii="Consolas" w:hAnsi="Consolas" w:cs="Calibri"/>
      <w:color w:val="19177C"/>
      <w:sz w:val="18"/>
      <w:shd w:val="clear" w:color="auto" w:fill="F2F2F2"/>
    </w:rPr>
  </w:style>
  <w:style w:type="character" w:customStyle="1" w:styleId="78">
    <w:name w:val="ControlFlowTok"/>
    <w:basedOn w:val="53"/>
    <w:uiPriority w:val="0"/>
    <w:rPr>
      <w:rFonts w:ascii="Consolas" w:hAnsi="Consolas" w:cs="Calibri"/>
      <w:b/>
      <w:color w:val="007020"/>
      <w:sz w:val="18"/>
      <w:shd w:val="clear" w:color="auto" w:fill="F2F2F2"/>
    </w:rPr>
  </w:style>
  <w:style w:type="character" w:customStyle="1" w:styleId="79">
    <w:name w:val="OperatorTok"/>
    <w:basedOn w:val="53"/>
    <w:uiPriority w:val="0"/>
    <w:rPr>
      <w:rFonts w:ascii="Consolas" w:hAnsi="Consolas" w:cs="Calibri"/>
      <w:color w:val="666666"/>
      <w:sz w:val="18"/>
      <w:shd w:val="clear" w:color="auto" w:fill="F2F2F2"/>
    </w:rPr>
  </w:style>
  <w:style w:type="character" w:customStyle="1" w:styleId="80">
    <w:name w:val="BuiltInTok"/>
    <w:basedOn w:val="53"/>
    <w:uiPriority w:val="0"/>
    <w:rPr>
      <w:rFonts w:ascii="Consolas" w:hAnsi="Consolas" w:cs="Calibri"/>
      <w:color w:val="008000"/>
      <w:sz w:val="18"/>
      <w:shd w:val="clear" w:color="auto" w:fill="F2F2F2"/>
    </w:rPr>
  </w:style>
  <w:style w:type="character" w:customStyle="1" w:styleId="81">
    <w:name w:val="ExtensionTok"/>
    <w:basedOn w:val="53"/>
    <w:uiPriority w:val="0"/>
    <w:rPr>
      <w:rFonts w:ascii="Consolas" w:hAnsi="Consolas" w:cs="Calibri"/>
      <w:color w:val="262626"/>
      <w:sz w:val="18"/>
      <w:shd w:val="clear" w:color="auto" w:fill="F2F2F2"/>
    </w:rPr>
  </w:style>
  <w:style w:type="character" w:customStyle="1" w:styleId="82">
    <w:name w:val="PreprocessorTok"/>
    <w:basedOn w:val="53"/>
    <w:qFormat/>
    <w:uiPriority w:val="0"/>
    <w:rPr>
      <w:rFonts w:ascii="Consolas" w:hAnsi="Consolas" w:cs="Calibri"/>
      <w:color w:val="BC7A00"/>
      <w:sz w:val="18"/>
      <w:shd w:val="clear" w:color="auto" w:fill="F2F2F2"/>
    </w:rPr>
  </w:style>
  <w:style w:type="character" w:customStyle="1" w:styleId="83">
    <w:name w:val="AttributeTok"/>
    <w:basedOn w:val="53"/>
    <w:qFormat/>
    <w:uiPriority w:val="0"/>
    <w:rPr>
      <w:rFonts w:ascii="Consolas" w:hAnsi="Consolas" w:cs="Calibri"/>
      <w:color w:val="7D9029"/>
      <w:sz w:val="18"/>
      <w:shd w:val="clear" w:color="auto" w:fill="F2F2F2"/>
    </w:rPr>
  </w:style>
  <w:style w:type="character" w:customStyle="1" w:styleId="84">
    <w:name w:val="RegionMarkerTok"/>
    <w:basedOn w:val="53"/>
    <w:uiPriority w:val="0"/>
    <w:rPr>
      <w:rFonts w:ascii="Consolas" w:hAnsi="Consolas" w:cs="Calibri"/>
      <w:color w:val="262626"/>
      <w:sz w:val="18"/>
      <w:shd w:val="clear" w:color="auto" w:fill="F2F2F2"/>
    </w:rPr>
  </w:style>
  <w:style w:type="character" w:customStyle="1" w:styleId="85">
    <w:name w:val="InformationTok"/>
    <w:basedOn w:val="53"/>
    <w:uiPriority w:val="0"/>
    <w:rPr>
      <w:rFonts w:ascii="Consolas" w:hAnsi="Consolas" w:cs="Calibri"/>
      <w:b/>
      <w:i/>
      <w:color w:val="60A0B0"/>
      <w:sz w:val="18"/>
      <w:shd w:val="clear" w:color="auto" w:fill="F2F2F2"/>
    </w:rPr>
  </w:style>
  <w:style w:type="character" w:customStyle="1" w:styleId="86">
    <w:name w:val="WarningTok"/>
    <w:basedOn w:val="53"/>
    <w:uiPriority w:val="0"/>
    <w:rPr>
      <w:rFonts w:ascii="Consolas" w:hAnsi="Consolas" w:cs="Calibri"/>
      <w:b/>
      <w:i/>
      <w:color w:val="60A0B0"/>
      <w:sz w:val="18"/>
      <w:shd w:val="clear" w:color="auto" w:fill="F2F2F2"/>
    </w:rPr>
  </w:style>
  <w:style w:type="character" w:customStyle="1" w:styleId="87">
    <w:name w:val="AlertTok"/>
    <w:basedOn w:val="53"/>
    <w:uiPriority w:val="0"/>
    <w:rPr>
      <w:rFonts w:ascii="Consolas" w:hAnsi="Consolas" w:cs="Calibri"/>
      <w:b/>
      <w:color w:val="FF0000"/>
      <w:sz w:val="18"/>
      <w:shd w:val="clear" w:color="auto" w:fill="F2F2F2"/>
    </w:rPr>
  </w:style>
  <w:style w:type="character" w:customStyle="1" w:styleId="88">
    <w:name w:val="ErrorTok"/>
    <w:basedOn w:val="53"/>
    <w:qFormat/>
    <w:uiPriority w:val="0"/>
    <w:rPr>
      <w:rFonts w:ascii="Consolas" w:hAnsi="Consolas" w:cs="Calibri"/>
      <w:b/>
      <w:color w:val="FF0000"/>
      <w:sz w:val="18"/>
      <w:shd w:val="clear" w:color="auto" w:fill="F2F2F2"/>
    </w:rPr>
  </w:style>
  <w:style w:type="character" w:customStyle="1" w:styleId="89">
    <w:name w:val="NormalTok"/>
    <w:basedOn w:val="53"/>
    <w:uiPriority w:val="0"/>
    <w:rPr>
      <w:rFonts w:ascii="Consolas" w:hAnsi="Consolas" w:cs="Calibri"/>
      <w:color w:val="262626"/>
      <w:sz w:val="18"/>
      <w:shd w:val="clear" w:color="auto" w:fill="F2F2F2"/>
    </w:rPr>
  </w:style>
  <w:style w:type="character" w:customStyle="1" w:styleId="90">
    <w:name w:val="页眉 字符"/>
    <w:basedOn w:val="23"/>
    <w:link w:val="17"/>
    <w:uiPriority w:val="0"/>
    <w:rPr>
      <w:sz w:val="18"/>
      <w:szCs w:val="18"/>
    </w:rPr>
  </w:style>
  <w:style w:type="character" w:customStyle="1" w:styleId="91">
    <w:name w:val="页脚 字符"/>
    <w:basedOn w:val="23"/>
    <w:link w:val="16"/>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664</Words>
  <Characters>3337</Characters>
  <Lines>418</Lines>
  <Paragraphs>237</Paragraphs>
  <TotalTime>1</TotalTime>
  <ScaleCrop>false</ScaleCrop>
  <LinksUpToDate>false</LinksUpToDate>
  <CharactersWithSpaces>3996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2026-10-06T07:28:00Z</dcterms:created>
  <dc:creator>[TODO: Group ID · student names and UTS IDs · demo video link · GitHub link]</dc:creator>
  <cp:lastModifiedBy>EndarH</cp:lastModifiedBy>
  <dcterms:modified xsi:type="dcterms:W3CDTF">2026-10-06T07:29:24Z</dcterms:modified>
  <dc:title>Keeping Website Stock in Step with Five Stores: An Integrated Data Warehouse Prototype for PetHaven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32113 Advanced Database · Assignment 2 · Spring 2026</vt:lpwstr>
  </property>
  <property fmtid="{D5CDD505-2E9C-101B-9397-08002B2CF9AE}" pid="3" name="toc-title">
    <vt:lpwstr>Contents</vt:lpwstr>
  </property>
  <property fmtid="{D5CDD505-2E9C-101B-9397-08002B2CF9AE}" pid="4" name="KSOTemplateDocerSaveRecord">
    <vt:lpwstr>eyJoZGlkIjoiNTU0ZmIwYTQ3NzlmZGUxZmU3Zjk0M2IyZTNmM2IxNjAiLCJ1c2VySWQiOiI0OTE3NTcwNTgifQ==</vt:lpwstr>
  </property>
  <property fmtid="{D5CDD505-2E9C-101B-9397-08002B2CF9AE}" pid="5" name="KSOProductBuildVer">
    <vt:lpwstr>2052-12.1.0.28505</vt:lpwstr>
  </property>
  <property fmtid="{D5CDD505-2E9C-101B-9397-08002B2CF9AE}" pid="6" name="ICV">
    <vt:lpwstr>E9862472524A4A54AFB7228FABE94D4C_12</vt:lpwstr>
  </property>
</Properties>
</file>