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16524EFE" w:rsidR="00C17FB4" w:rsidRDefault="00C17FB4" w:rsidP="00C94210">
      <w:r>
        <w:t xml:space="preserve">Of the </w:t>
      </w:r>
      <w:r w:rsidR="00A94EEF">
        <w:t>55</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Start w:id="14" w:name="_GoBack"/>
            <w:bookmarkEnd w:id="13"/>
            <w:bookmarkEnd w:id="14"/>
          </w:p>
          <w:p w14:paraId="252F7C4D" w14:textId="3EB60D83" w:rsidR="002F093E" w:rsidRPr="000A0AAF" w:rsidRDefault="002F093E" w:rsidP="00583D16">
            <w:r w:rsidRPr="00B0517F">
              <w:rPr>
                <w:b/>
              </w:rPr>
              <w:t>Web Scripts:</w:t>
            </w:r>
            <w:r>
              <w:tab/>
            </w:r>
            <w:r>
              <w:tab/>
            </w:r>
            <w:bookmarkStart w:id="15" w:name="WebScripts"/>
            <w:r>
              <w:t>XX</w:t>
            </w:r>
            <w:bookmarkEnd w:id="15"/>
          </w:p>
          <w:p w14:paraId="29C04DF2" w14:textId="20F44348" w:rsidR="002F093E" w:rsidRPr="000A0AAF" w:rsidRDefault="002F093E" w:rsidP="00583D16">
            <w:r w:rsidRPr="00B0517F">
              <w:rPr>
                <w:b/>
              </w:rPr>
              <w:t>Actions:</w:t>
            </w:r>
            <w:r>
              <w:tab/>
            </w:r>
            <w:r>
              <w:tab/>
            </w:r>
            <w:r>
              <w:tab/>
            </w:r>
            <w:bookmarkStart w:id="16" w:name="Actions"/>
            <w:r>
              <w:t>XX</w:t>
            </w:r>
            <w:bookmarkEnd w:id="16"/>
          </w:p>
          <w:p w14:paraId="517B0AB0" w14:textId="21D9F842" w:rsidR="002F093E" w:rsidRPr="000A0AAF" w:rsidRDefault="002F093E" w:rsidP="00583D16">
            <w:r w:rsidRPr="00B0517F">
              <w:rPr>
                <w:b/>
              </w:rPr>
              <w:t>Behaviours:</w:t>
            </w:r>
            <w:r>
              <w:tab/>
            </w:r>
            <w:r>
              <w:tab/>
            </w:r>
            <w:bookmarkStart w:id="17" w:name="Behaviours"/>
            <w:r>
              <w:t>XX</w:t>
            </w:r>
            <w:bookmarkEnd w:id="17"/>
          </w:p>
          <w:p w14:paraId="7855F09A" w14:textId="57854974" w:rsidR="002F093E" w:rsidRPr="000A0AAF" w:rsidRDefault="002F093E" w:rsidP="00583D16">
            <w:r w:rsidRPr="00B0517F">
              <w:rPr>
                <w:b/>
              </w:rPr>
              <w:t>Quartz jobs:</w:t>
            </w:r>
            <w:r>
              <w:tab/>
            </w:r>
            <w:r>
              <w:tab/>
            </w:r>
            <w:bookmarkStart w:id="18" w:name="QuartzJobs"/>
            <w:r>
              <w:t>XX</w:t>
            </w:r>
            <w:bookmarkEnd w:id="18"/>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9" w:name="API01_Meets"/>
      <w:r w:rsidR="000E64FA" w:rsidRPr="000E64FA">
        <w:rPr>
          <w:b/>
          <w:color w:val="008000"/>
        </w:rPr>
        <w:t>Meets</w:t>
      </w:r>
      <w:bookmarkStart w:id="20" w:name="API01_DoesNotMeet"/>
      <w:bookmarkEnd w:id="19"/>
      <w:r w:rsidR="003A4354" w:rsidRPr="000E64FA">
        <w:rPr>
          <w:b/>
          <w:color w:val="FF0000"/>
        </w:rPr>
        <w:t>Does not meet</w:t>
      </w:r>
      <w:bookmarkEnd w:id="20"/>
    </w:p>
    <w:p w14:paraId="2AC579D3" w14:textId="5A4B436B" w:rsidR="00C94210" w:rsidRDefault="00C94210" w:rsidP="009E474F">
      <w:pPr>
        <w:ind w:left="1560" w:hanging="1560"/>
      </w:pPr>
      <w:r w:rsidRPr="000E64FA">
        <w:rPr>
          <w:b/>
        </w:rPr>
        <w:t>Remedial Action:</w:t>
      </w:r>
      <w:r w:rsidRPr="000E64FA">
        <w:rPr>
          <w:b/>
        </w:rPr>
        <w:tab/>
      </w:r>
      <w:bookmarkStart w:id="21" w:name="API01_NoRemedy"/>
      <w:r w:rsidR="00DD0AC6" w:rsidRPr="000E64FA">
        <w:rPr>
          <w:b/>
          <w:color w:val="008000"/>
        </w:rPr>
        <w:t>None</w:t>
      </w:r>
      <w:bookmarkStart w:id="22" w:name="API01_Remedy"/>
      <w:bookmarkEnd w:id="21"/>
      <w:r w:rsidR="000E64FA" w:rsidRPr="000E64FA">
        <w:rPr>
          <w:b/>
          <w:color w:val="FF0000"/>
        </w:rPr>
        <w:t>Must fix</w:t>
      </w:r>
      <w:bookmarkEnd w:id="22"/>
    </w:p>
    <w:p w14:paraId="7093DB04" w14:textId="0747F945" w:rsidR="00C94210" w:rsidRDefault="00C94210" w:rsidP="009E474F">
      <w:pPr>
        <w:ind w:left="1560" w:hanging="1560"/>
      </w:pPr>
      <w:r w:rsidRPr="009E474F">
        <w:rPr>
          <w:b/>
        </w:rPr>
        <w:t>Evidence:</w:t>
      </w:r>
      <w:r>
        <w:tab/>
      </w:r>
      <w:bookmarkStart w:id="23" w:name="API01_Evidence"/>
      <w:r w:rsidR="003A4354">
        <w:t>&lt;Supporting evidence&gt;</w:t>
      </w:r>
      <w:bookmarkEnd w:id="23"/>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w:t>
      </w:r>
      <w:proofErr w:type="gramStart"/>
      <w:r>
        <w:t>additional</w:t>
      </w:r>
      <w:proofErr w:type="gramEnd"/>
      <w:r>
        <w:t xml:space="preserve">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4" w:name="API02_Meets"/>
      <w:r w:rsidR="00731082" w:rsidRPr="00731082">
        <w:rPr>
          <w:b/>
          <w:color w:val="008000"/>
        </w:rPr>
        <w:t>Meets</w:t>
      </w:r>
      <w:bookmarkStart w:id="25" w:name="API02_DoesNotMeet"/>
      <w:bookmarkEnd w:id="24"/>
      <w:r w:rsidRPr="00731082">
        <w:rPr>
          <w:b/>
          <w:color w:val="FF0000"/>
        </w:rPr>
        <w:t>Does not meet</w:t>
      </w:r>
      <w:bookmarkEnd w:id="25"/>
    </w:p>
    <w:p w14:paraId="7461E1D5" w14:textId="60517394" w:rsidR="00C03AF0" w:rsidRDefault="00C03AF0" w:rsidP="00C03AF0">
      <w:pPr>
        <w:ind w:left="1560" w:hanging="1560"/>
      </w:pPr>
      <w:r w:rsidRPr="00731082">
        <w:rPr>
          <w:b/>
        </w:rPr>
        <w:t>Remedial Action:</w:t>
      </w:r>
      <w:r w:rsidR="00731082">
        <w:rPr>
          <w:b/>
        </w:rPr>
        <w:tab/>
      </w:r>
      <w:bookmarkStart w:id="26" w:name="API02_NoRemedy"/>
      <w:r w:rsidR="00DD0AC6" w:rsidRPr="00731082">
        <w:rPr>
          <w:b/>
          <w:color w:val="008000"/>
        </w:rPr>
        <w:t>None</w:t>
      </w:r>
      <w:bookmarkStart w:id="27" w:name="API02_Remedy"/>
      <w:bookmarkEnd w:id="26"/>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7"/>
    </w:p>
    <w:p w14:paraId="6A219F37" w14:textId="77777777" w:rsidR="00C03AF0" w:rsidRDefault="00C03AF0" w:rsidP="00C03AF0">
      <w:pPr>
        <w:ind w:left="1560" w:hanging="1560"/>
      </w:pPr>
      <w:r w:rsidRPr="009E474F">
        <w:rPr>
          <w:b/>
        </w:rPr>
        <w:t>Evidence:</w:t>
      </w:r>
      <w:r>
        <w:tab/>
      </w:r>
      <w:bookmarkStart w:id="28" w:name="API02_Evidence"/>
      <w:r>
        <w:t>&lt;Supporting evidence&gt;</w:t>
      </w:r>
      <w:bookmarkEnd w:id="28"/>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72C8DA86" w:rsidR="008C5B3B" w:rsidRDefault="008C5B3B" w:rsidP="008C5B3B">
      <w:pPr>
        <w:ind w:left="1560" w:hanging="1560"/>
      </w:pPr>
      <w:proofErr w:type="gramStart"/>
      <w:r w:rsidRPr="009E474F">
        <w:rPr>
          <w:b/>
        </w:rPr>
        <w:t>vidence</w:t>
      </w:r>
      <w:proofErr w:type="gramEnd"/>
      <w:r w:rsidRPr="009E474F">
        <w:rPr>
          <w:b/>
        </w:rPr>
        <w:t>:</w:t>
      </w:r>
      <w:r>
        <w:tab/>
      </w:r>
      <w:bookmarkStart w:id="103" w:name="COM08_Evidence"/>
      <w:r>
        <w:t>&lt;Supporting evidence&gt;</w:t>
      </w:r>
      <w:bookmarkEnd w:id="103"/>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4964</Words>
  <Characters>28299</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33197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110</cp:revision>
  <cp:lastPrinted>2014-01-30T23:58:00Z</cp:lastPrinted>
  <dcterms:created xsi:type="dcterms:W3CDTF">2014-01-30T23:58:00Z</dcterms:created>
  <dcterms:modified xsi:type="dcterms:W3CDTF">2014-04-02T13:03:00Z</dcterms:modified>
  <cp:category/>
</cp:coreProperties>
</file>