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17365D"/>
            <w:tcMar>
              <w:top w:w="700" w:type="dxa"/>
              <w:start w:w="360" w:type="dxa"/>
              <w:bottom w:w="700" w:type="dxa"/>
              <w:end w:w="3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B9D7F0"/>
                <w:sz w:val="24"/>
              </w:rPr>
              <w:t>RISE FUNDING</w:t>
              <w:br/>
            </w:r>
            <w:r>
              <w:rPr>
                <w:rFonts w:ascii="Calibri" w:hAnsi="Calibri"/>
                <w:b/>
                <w:color w:val="FFFFFF"/>
                <w:sz w:val="56"/>
              </w:rPr>
              <w:t>Manual de usuario</w:t>
            </w:r>
          </w:p>
          <w:p>
            <w:pPr>
              <w:spacing w:before="240"/>
            </w:pPr>
            <w:r>
              <w:rPr>
                <w:rFonts w:ascii="Calibri" w:hAnsi="Calibri"/>
                <w:color w:val="FFFFFF"/>
                <w:sz w:val="28"/>
              </w:rPr>
              <w:t>Cómo organizar tus proyectos y oportunidades de financiamiento</w:t>
            </w:r>
          </w:p>
        </w:tc>
        <w:trPr>
          <w:tblHeader/>
        </w:trPr>
      </w:tr>
    </w:tbl>
    <w:p/>
    <w:p>
      <w:pPr>
        <w:jc w:val="left"/>
      </w:pPr>
      <w:r>
        <w:rPr>
          <w:rFonts w:ascii="Calibri" w:hAnsi="Calibri"/>
          <w:b/>
          <w:color w:val="1F4D78"/>
          <w:sz w:val="28"/>
        </w:rPr>
        <w:t>Guía práctica para equipos de organizaciones sin fines de lucro</w:t>
      </w:r>
    </w:p>
    <w:p>
      <w:r>
        <w:rPr>
          <w:rFonts w:ascii="Calibri" w:hAnsi="Calibri"/>
          <w:b/>
          <w:color w:val="667085"/>
          <w:sz w:val="20"/>
        </w:rPr>
        <w:t>Versión 1.0 · Agosto de 2026</w:t>
        <w:br/>
      </w:r>
      <w:r>
        <w:rPr>
          <w:rFonts w:ascii="Calibri" w:hAnsi="Calibri"/>
          <w:color w:val="667085"/>
          <w:sz w:val="20"/>
        </w:rPr>
        <w:t>Ámbito: usuarios de organizaciones. La consola administrativa se documenta por separado.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Propósito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Aprender a preparar el perfil institucional y los proyectos, descubrir fondos, interpretar la compatibilidad, organizar postulaciones y mantener un calendario común.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Dos límites importantes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FundingPlatform no envía postulaciones al financiador y sus resultados de compatibilidad no confirman elegibilidad. Siempre debes revisar las bases y la fuente oficial.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Sección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Qué aprenderás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1. Antes de comenzar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Roles, disponibilidad y conceptos básicos.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2. Acceso y primera configuración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Inicio de sesión, organización y perfil institucional.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3. Navegación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Qué encontrarás en cada módulo.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4. Proyectos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Crear, completar, publicar y archivar proyectos.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5. Concursos, favoritos y alertas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Buscar, filtrar, guardar y revisar oportunidades.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6. Compatibilidad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Calcular e interpretar resultados orientativos.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7. Postulaciones y calendario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Organizar el trabajo interno y sus fechas.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8. Conexiones y marketplace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Visibilidad pública y red de organizaciones.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9. Cuenta, seguridad y suscripción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Acceso, MFA, Microsoft y estado del plan.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10. Flujos recomendados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Recorridos completos para tareas habituales.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11. Solución de problemas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Qué revisar y cuándo pedir ayuda.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12. Glosario</w:t>
            </w:r>
          </w:p>
        </w:tc>
        <w:tc>
          <w:tcPr>
            <w:tcW w:type="dxa" w:w="662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Significado de los términos principales.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Sobre las guías visuales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Esta edición incluye seis esquemas orientativos basados en la interfaz real. Los pantallazos del ambiente dev se podrán incorporar después del despliegue, usando únicamente datos ficticios y sin exponer información personal.</w:t>
            </w:r>
          </w:p>
        </w:tc>
        <w:trPr>
          <w:tblHeader/>
        </w:trPr>
      </w:tr>
    </w:tbl>
    <w:p>
      <w:pPr>
        <w:spacing w:after="0"/>
      </w:pPr>
    </w:p>
    <w:p>
      <w:r>
        <w:rPr>
          <w:rFonts w:ascii="Calibri" w:hAnsi="Calibri"/>
        </w:rPr>
        <w:t>Recomendación: usa la versión PDF para compartir y la versión Word para mantener el manual actualizado cuando cambie la interfaz.</w:t>
      </w:r>
    </w:p>
    <w:p>
      <w:r>
        <w:br w:type="page"/>
      </w:r>
    </w:p>
    <w:p>
      <w:pPr>
        <w:pStyle w:val="Heading1"/>
      </w:pPr>
      <w:r>
        <w:t>1. Antes de comenzar</w:t>
      </w:r>
    </w:p>
    <w:p>
      <w:pPr>
        <w:pStyle w:val="Heading2"/>
      </w:pPr>
      <w:r>
        <w:t>1.1 ¿Qué permite hacer FundingPlatform?</w:t>
      </w:r>
    </w:p>
    <w:p>
      <w:r>
        <w:rPr>
          <w:rFonts w:ascii="Calibri" w:hAnsi="Calibri"/>
        </w:rPr>
        <w:t>FundingPlatform ayuda a una organización a ordenar la información institucional y de sus proyectos, descubrir concursos, revisar compatibilidad estructurada y llevar un seguimiento interno de postulaciones y fechas.</w:t>
      </w:r>
    </w:p>
    <w:p>
      <w:pPr>
        <w:pStyle w:val="ListBullet"/>
      </w:pPr>
      <w:r>
        <w:rPr>
          <w:rFonts w:ascii="Calibri" w:hAnsi="Calibri"/>
        </w:rPr>
        <w:t>Crear y mantener el perfil de la organización.</w:t>
      </w:r>
    </w:p>
    <w:p>
      <w:pPr>
        <w:pStyle w:val="ListBullet"/>
      </w:pPr>
      <w:r>
        <w:rPr>
          <w:rFonts w:ascii="Calibri" w:hAnsi="Calibri"/>
        </w:rPr>
        <w:t>Registrar proyectos con su impacto, presupuesto y brecha de financiamiento.</w:t>
      </w:r>
    </w:p>
    <w:p>
      <w:pPr>
        <w:pStyle w:val="ListBullet"/>
      </w:pPr>
      <w:r>
        <w:rPr>
          <w:rFonts w:ascii="Calibri" w:hAnsi="Calibri"/>
        </w:rPr>
        <w:t>Buscar concursos mediante texto, filtros, fechas, montos y categorías.</w:t>
      </w:r>
    </w:p>
    <w:p>
      <w:pPr>
        <w:pStyle w:val="ListBullet"/>
      </w:pPr>
      <w:r>
        <w:rPr>
          <w:rFonts w:ascii="Calibri" w:hAnsi="Calibri"/>
        </w:rPr>
        <w:t>Guardar favoritos y búsquedas privadas.</w:t>
      </w:r>
    </w:p>
    <w:p>
      <w:pPr>
        <w:pStyle w:val="ListBullet"/>
      </w:pPr>
      <w:r>
        <w:rPr>
          <w:rFonts w:ascii="Calibri" w:hAnsi="Calibri"/>
        </w:rPr>
        <w:t>Calcular compatibilidad orientativa por proyecto y conservar el historial.</w:t>
      </w:r>
    </w:p>
    <w:p>
      <w:pPr>
        <w:pStyle w:val="ListBullet"/>
      </w:pPr>
      <w:r>
        <w:rPr>
          <w:rFonts w:ascii="Calibri" w:hAnsi="Calibri"/>
        </w:rPr>
        <w:t>Registrar postulaciones y visualizar hitos en un calendario común.</w:t>
      </w:r>
    </w:p>
    <w:p>
      <w:pPr>
        <w:pStyle w:val="ListBullet"/>
      </w:pPr>
      <w:r>
        <w:rPr>
          <w:rFonts w:ascii="Calibri" w:hAnsi="Calibri"/>
        </w:rPr>
        <w:t>Participar, si la organización lo autoriza, en un directorio de conexiones.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La plataforma no sustituye el trabajo de postulación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 completa ni envía formularios al financiador, no garantiza adjudicación y no reemplaza la lectura de las bases oficiales.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1.2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3456"/>
      </w:tblGrid>
      <w:tr>
        <w:trPr>
          <w:tblHeader w:val="true"/>
          <w:cantSplit/>
        </w:trPr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Rol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Puede hacer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Consideraciones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Visitante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Explorar fondos y proyectos públicos.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ve perfiles internos, favoritos ni postulaciones.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Miembro de organización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Usar el espacio privado según sus permisos.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edición puede depender del rol asignado dentro de la organización.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Administrador de organización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Gestionar visibilidad y solicitudes de conexión.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Debe revisar cuidadosamente los datos que se vuelven públicos.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Administrador de plataforma</w:t>
            </w:r>
          </w:p>
        </w:tc>
        <w:tc>
          <w:tcPr>
            <w:tcW w:type="dxa" w:w="388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Operar catálogo, usuarios y procesos internos.</w:t>
            </w:r>
          </w:p>
        </w:tc>
        <w:tc>
          <w:tcPr>
            <w:tcW w:type="dxa" w:w="34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está cubierto en detalle por este manual.</w:t>
            </w:r>
          </w:p>
        </w:tc>
      </w:tr>
    </w:tbl>
    <w:p>
      <w:pPr>
        <w:spacing w:after="0"/>
      </w:pPr>
    </w:p>
    <w:p>
      <w:pPr>
        <w:pStyle w:val="Heading2"/>
      </w:pPr>
      <w:r>
        <w:t>1.3 Funciones sujetas al ambiente</w:t>
      </w:r>
    </w:p>
    <w:p>
      <w:r>
        <w:rPr>
          <w:rFonts w:ascii="Calibri" w:hAnsi="Calibri"/>
        </w:rPr>
        <w:t>Durante un piloto algunas integraciones pueden estar temporalmente deshabilitadas. La interfaz mostrará un mensaje si una función no está disponible.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048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Función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Qué esperar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Registro y recuperación por correo</w:t>
            </w:r>
          </w:p>
        </w:tc>
        <w:tc>
          <w:tcPr>
            <w:tcW w:type="dxa" w:w="60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Puede estar deshabilitado en el ambiente dev. El equipo administrador entregará o restaurará el acceso.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Inicio de sesión con Microsoft</w:t>
            </w:r>
          </w:p>
        </w:tc>
        <w:tc>
          <w:tcPr>
            <w:tcW w:type="dxa" w:w="60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Aparece cuando la integración con Microsoft Entra está configurada.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Alertas por correo</w:t>
            </w:r>
          </w:p>
        </w:tc>
        <w:tc>
          <w:tcPr>
            <w:tcW w:type="dxa" w:w="60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búsqueda puede quedar guardada aunque el envío todavía no esté habilitado.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Planes pagados</w:t>
            </w:r>
          </w:p>
        </w:tc>
        <w:tc>
          <w:tcPr>
            <w:tcW w:type="dxa" w:w="604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Los cobros están deshabilitados o restringidos a sandbox en esta etapa.</w:t>
            </w:r>
          </w:p>
        </w:tc>
      </w:tr>
    </w:tbl>
    <w:p>
      <w:pPr>
        <w:spacing w:after="0"/>
      </w:pPr>
    </w:p>
    <w:p>
      <w:pPr>
        <w:pStyle w:val="Heading1"/>
      </w:pPr>
      <w:r>
        <w:t>2. Acceso y primera configuración</w:t>
      </w:r>
    </w:p>
    <w:p>
      <w:pPr>
        <w:pStyle w:val="Heading2"/>
      </w:pPr>
      <w:r>
        <w:t>2.1 Iniciar sesión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</w:rPr>
        <w:t>Abre la dirección entregada por el equipo de implementación.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</w:rPr>
        <w:t>Selecciona Iniciar sesión e ingresa tu correo y contraseña.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</w:rPr>
        <w:t>Si aparece un desafío MFA, escribe el código de tu aplicación autenticadora o utiliza un código de recuperación.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</w:rPr>
        <w:t>Al ingresar por primera vez, la plataforma te enviará al onboarding si todavía no perteneces a una organización.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Sesión segura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 te alejas del equipo, bloquea la pantalla. Al terminar, usa el icono Cerrar sesión; cerrar solo la pestaña no reemplaza esta acción.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GUÍA VISUAL 1 · Acceso a la plataforma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Correo  →  Contraseña  →  Iniciar sesión  →  Recuperar contraseña  →  Microsoft, si está habilitado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67085"/>
                <w:sz w:val="18"/>
              </w:rPr>
              <w:t>El recorrido comienza con la cuenta local y puede incorporar Microsoft o MFA según la configuración.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i/>
                <w:color w:val="667085"/>
                <w:sz w:val="16"/>
              </w:rPr>
              <w:t>Figura 1. Esquema orientativo de acceso a la plataforma; la posición exacta puede variar según pantalla y versión.</w:t>
            </w:r>
          </w:p>
        </w:tc>
        <w:trPr>
          <w:tblHeader/>
        </w:trPr>
      </w:tr>
    </w:tbl>
    <w:p>
      <w:pPr>
        <w:pStyle w:val="Heading2"/>
      </w:pPr>
      <w:r>
        <w:t>2.2 Crear el espacio de la organización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En el onboarding, escribe el nombre público de la organización.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Selecciona el país principal y el tipo de organización.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Selecciona Crear organización.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</w:rPr>
        <w:t>Confirma que aparece el perfil institucional con su porcentaje de avance.</w:t>
      </w:r>
    </w:p>
    <w:p>
      <w:r>
        <w:rPr>
          <w:rFonts w:ascii="Calibri" w:hAnsi="Calibri"/>
        </w:rPr>
        <w:t>El espacio separa los datos, proyectos y resultados de tu organización de los de otras organizaciones.</w:t>
      </w:r>
    </w:p>
    <w:p>
      <w:pPr>
        <w:pStyle w:val="Heading2"/>
      </w:pPr>
      <w:r>
        <w:t>2.3 Completar el perfil institucional</w:t>
      </w:r>
    </w:p>
    <w:p>
      <w:r>
        <w:rPr>
          <w:rFonts w:ascii="Calibri" w:hAnsi="Calibri"/>
        </w:rPr>
        <w:t>El perfil se organiza en tres pasos: Identidad, Impacto y Financiamiento. Guarda los cambios antes de abandonar la pantalla.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464"/>
        <w:gridCol w:w="3168"/>
      </w:tblGrid>
      <w:tr>
        <w:trPr>
          <w:tblHeader w:val="true"/>
          <w:cantSplit/>
        </w:trPr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Paso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Información principal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Por qué importa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Identidad</w:t>
            </w:r>
          </w:p>
        </w:tc>
        <w:tc>
          <w:tcPr>
            <w:tcW w:type="dxa" w:w="44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Nombre, razón social, identificador tributario, año, tipo, personalidad jurídica, tamaño, web y descripción.</w:t>
            </w:r>
          </w:p>
        </w:tc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Sustenta condiciones legales y antigüedad.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Impacto</w:t>
            </w:r>
          </w:p>
        </w:tc>
        <w:tc>
          <w:tcPr>
            <w:tcW w:type="dxa" w:w="44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Países, regiones, áreas, beneficiarios y tipos de proyecto.</w:t>
            </w:r>
          </w:p>
        </w:tc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Permite comparar territorios y taxonomías.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Financiamiento</w:t>
            </w:r>
          </w:p>
        </w:tc>
        <w:tc>
          <w:tcPr>
            <w:tcW w:type="dxa" w:w="446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Experiencia, monedas, rangos de financiamiento, presupuesto, idiomas y resumen.</w:t>
            </w:r>
          </w:p>
        </w:tc>
        <w:tc>
          <w:tcPr>
            <w:tcW w:type="dxa" w:w="3168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Mejora la calidad de los datos usados en búsquedas y compatibilidad.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Calidad de datos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Un dato desconocido no se considera aprobado. Completa la información con evidencia interna y actualízala cuando cambie.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GUÍA VISUAL 2 · Perfil de la organización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Identidad  →  Impacto  →  Financiamiento  →  Porcentaje de avance  →  Guardar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67085"/>
                <w:sz w:val="18"/>
              </w:rPr>
              <w:t>El avance reúne los tres grupos de datos; cada grupo se revisa y guarda desde el mismo perfil.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i/>
                <w:color w:val="667085"/>
                <w:sz w:val="16"/>
              </w:rPr>
              <w:t>Figura 2. Esquema orientativo de perfil de la organización; la posición exacta puede variar según pantalla y versión.</w:t>
            </w:r>
          </w:p>
        </w:tc>
        <w:trPr>
          <w:tblHeader/>
        </w:trPr>
      </w:tr>
    </w:tbl>
    <w:p>
      <w:pPr>
        <w:pStyle w:val="Heading1"/>
      </w:pPr>
      <w:r>
        <w:t>3. Navegación del espacio privado</w:t>
      </w:r>
    </w:p>
    <w:p>
      <w:r>
        <w:rPr>
          <w:rFonts w:ascii="Calibri" w:hAnsi="Calibri"/>
        </w:rPr>
        <w:t>En escritorio, el menú aparece a la izquierda. En pantallas pequeñas, se muestra como una franja horizontal desplazable. La barra superior permite cambiar el tema y cerrar la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Menú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Uso principal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Resumen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Punto de entrada al espacio de la organización.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Concursos disponibles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Buscar y filtrar oportunidades vigentes.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Compatibilidad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Comparar un proyecto con fondos activos y revisar el historial.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Favoritos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Reencontrar concursos guardados por la cuenta en la organización.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Postulaciones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Registrar el avance interno de cada postulación.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Calendario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Revisar cierres e hitos mensuales.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Alertas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Guardar búsquedas y, cuando esté disponible, recibir resúmenes.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Conexiones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Explorar el directorio y administrar invitaciones moderadas.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Organización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Editar el perfil institucional.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Proyectos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Crear y mantener proyectos.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Mi cuenta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Revisar métodos de acceso y vincular Microsoft cuando esté habilitado.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Suscripción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Consultar el plan y el estado del acceso de la organización.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Si un menú no aparece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Puede deberse a tu rol, al estado de la organización o a que el módulo todavía no está habilitado en ese ambiente.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4. Gestionar proyectos</w:t>
      </w:r>
    </w:p>
    <w:p>
      <w:pPr>
        <w:pStyle w:val="Heading2"/>
      </w:pPr>
      <w:r>
        <w:t>4.1 Crear un proyecto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Entra a Proyectos y selecciona Nuevo proyecto.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Completa el título, resumen, descripción, estado, territorios, categorías, beneficiarios y tipo de proyecto.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Registra fechas y presupuesto. Define la moneda de forma consistente.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Revisa el financiamiento confirmado y la brecha pendiente.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</w:rPr>
        <w:t>Guarda y vuelve a abrir el proyecto para confirmar la información.</w:t>
      </w:r>
    </w:p>
    <w:p>
      <w:r>
        <w:rPr>
          <w:rFonts w:ascii="Calibri" w:hAnsi="Calibri"/>
        </w:rPr>
        <w:t>Cada proyecto mantiene su propia versión, necesidad de financiamiento e historial. Esto evita mezclar proyectos con territorios, poblaciones o presupuestos diferentes.</w:t>
      </w:r>
    </w:p>
    <w:p>
      <w:pPr>
        <w:pStyle w:val="Heading2"/>
      </w:pPr>
      <w:r>
        <w:t>4.2 Estados y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Concepto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Qué significa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Estado del proyecto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Describe su avance: idea, diseño, buscando financiamiento, financiado parcialmente, financiado, en ejecución o completado.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Estado de publicación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Controla si el proyecto está en borrador, revisión, publicado, rechazado o archivado.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Versión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Aumenta cuando cambia información relevante y permite detectar resultados de compatibilidad antiguos.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</w:rPr>
        <w:t>Para solicitar publicación, completa los requisitos mostrados en el panel del proyecto.</w:t>
      </w:r>
    </w:p>
    <w:p>
      <w:pPr>
        <w:pStyle w:val="ListBullet"/>
      </w:pPr>
      <w:r>
        <w:rPr>
          <w:rFonts w:ascii="Calibri" w:hAnsi="Calibri"/>
        </w:rPr>
        <w:t>El perfil de la organización debe estar completo al menos en el porcentaje exigido por la interfaz.</w:t>
      </w:r>
    </w:p>
    <w:p>
      <w:pPr>
        <w:pStyle w:val="ListBullet"/>
      </w:pPr>
      <w:r>
        <w:rPr>
          <w:rFonts w:ascii="Calibri" w:hAnsi="Calibri"/>
        </w:rPr>
        <w:t>Un proyecto archivado conserva historial y postulaciones, pero no admite cálculos nuevos de compatibilidad.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GUÍA VISUAL 3 · Lista y detalle de proyectos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Estado y versión  →  Título y resumen  →  Brecha de financiamiento  →  Ver o Editar  →  Calcular compatibilidad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67085"/>
                <w:sz w:val="18"/>
              </w:rPr>
              <w:t>La tarjeta resume el proyecto y el detalle permite editarlo o iniciar un cálculo vigente.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i/>
                <w:color w:val="667085"/>
                <w:sz w:val="16"/>
              </w:rPr>
              <w:t>Figura 3. Esquema orientativo de lista y detalle de proyectos; la posición exacta puede variar según pantalla y versión.</w:t>
            </w:r>
          </w:p>
        </w:tc>
        <w:trPr>
          <w:tblHeader/>
        </w:trPr>
      </w:tr>
    </w:tbl>
    <w:p>
      <w:pPr>
        <w:pStyle w:val="Heading2"/>
      </w:pPr>
      <w:r>
        <w:t>4.3 Buenas prácticas</w:t>
      </w:r>
    </w:p>
    <w:p>
      <w:pPr>
        <w:pStyle w:val="ListBullet"/>
      </w:pPr>
      <w:r>
        <w:rPr>
          <w:rFonts w:ascii="Calibri" w:hAnsi="Calibri"/>
        </w:rPr>
        <w:t>Usa un título específico y un resumen que pueda entender una persona externa.</w:t>
      </w:r>
    </w:p>
    <w:p>
      <w:pPr>
        <w:pStyle w:val="ListBullet"/>
      </w:pPr>
      <w:r>
        <w:rPr>
          <w:rFonts w:ascii="Calibri" w:hAnsi="Calibri"/>
        </w:rPr>
        <w:t>No incluyas contraseñas, datos bancarios ni información personal innecesaria.</w:t>
      </w:r>
    </w:p>
    <w:p>
      <w:pPr>
        <w:pStyle w:val="ListBullet"/>
      </w:pPr>
      <w:r>
        <w:rPr>
          <w:rFonts w:ascii="Calibri" w:hAnsi="Calibri"/>
        </w:rPr>
        <w:t>Actualiza territorios, beneficiarios, fechas y presupuesto antes de calcular compatibilidad.</w:t>
      </w:r>
    </w:p>
    <w:p>
      <w:pPr>
        <w:pStyle w:val="ListBullet"/>
      </w:pPr>
      <w:r>
        <w:rPr>
          <w:rFonts w:ascii="Calibri" w:hAnsi="Calibri"/>
        </w:rPr>
        <w:t>Si cambió el proyecto, crea un cálculo nuevo; no tomes una ejecución antigua como vigente.</w:t>
      </w:r>
    </w:p>
    <w:p>
      <w:pPr>
        <w:pStyle w:val="Heading1"/>
      </w:pPr>
      <w:r>
        <w:t>5. Concursos, favoritos y alertas</w:t>
      </w:r>
    </w:p>
    <w:p>
      <w:pPr>
        <w:pStyle w:val="Heading2"/>
      </w:pPr>
      <w:r>
        <w:t>5.1 Buscar oportunidades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Abre Concursos disponibles.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Escribe palabras relevantes o aplica filtros de patrocinador, monto, moneda, fecha, territorio, categoría, beneficiarios, tipo de proyecto u organización.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Ordena por relevancia, cierre próximo, publicación reciente o monto máximo.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Abre el detalle del concurso y revisa requisitos, montos, fechas, patrocinador y fuente oficial.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/>
        </w:rPr>
        <w:t>Si el concurso interesa, guárdalo en Favoritos o inicia una postulación interna.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Fecha oficial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El calendario y las fichas ayudan a organizarse, pero siempre confirma la fecha y hora en la fuente oficial. Una convocatoria continua se muestra como tal y no debe confundirse con una fecha desconocida.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GUÍA VISUAL 4 · Catálogo de concursos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Texto y filtros  →  Ordenar  →  Resultados  →  Guardar búsqueda  →  Abrir oportunidad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67085"/>
                <w:sz w:val="18"/>
              </w:rPr>
              <w:t>Los filtros modifican los resultados; cada tarjeta conduce a la ficha y a su fuente oficial.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i/>
                <w:color w:val="667085"/>
                <w:sz w:val="16"/>
              </w:rPr>
              <w:t>Figura 4. Esquema orientativo de catálogo de concursos; la posición exacta puede variar según pantalla y versión.</w:t>
            </w:r>
          </w:p>
        </w:tc>
        <w:trPr>
          <w:tblHeader/>
        </w:trPr>
      </w:tr>
    </w:tbl>
    <w:p>
      <w:pPr>
        <w:pStyle w:val="Heading2"/>
      </w:pPr>
      <w:r>
        <w:t>5.2 Favoritos</w:t>
      </w:r>
    </w:p>
    <w:p>
      <w:r>
        <w:rPr>
          <w:rFonts w:ascii="Calibri" w:hAnsi="Calibri"/>
        </w:rPr>
        <w:t>El botón de favorito permite guardar o quitar una oportunidad. La sección Favoritos reúne los concursos guardados por tu cuenta dentro de la organización.</w:t>
      </w:r>
    </w:p>
    <w:p>
      <w:pPr>
        <w:pStyle w:val="ListBullet"/>
      </w:pPr>
      <w:r>
        <w:rPr>
          <w:rFonts w:ascii="Calibri" w:hAnsi="Calibri"/>
        </w:rPr>
        <w:t>Guardar un concurso no crea una postulación.</w:t>
      </w:r>
    </w:p>
    <w:p>
      <w:pPr>
        <w:pStyle w:val="ListBullet"/>
      </w:pPr>
      <w:r>
        <w:rPr>
          <w:rFonts w:ascii="Calibri" w:hAnsi="Calibri"/>
        </w:rPr>
        <w:t>Quitar un favorito no elimina una postulación existente.</w:t>
      </w:r>
    </w:p>
    <w:p>
      <w:pPr>
        <w:pStyle w:val="ListBullet"/>
      </w:pPr>
      <w:r>
        <w:rPr>
          <w:rFonts w:ascii="Calibri" w:hAnsi="Calibri"/>
        </w:rPr>
        <w:t>Los favoritos pueden aportar fechas al calendario cuando la oportunidad tiene cierre conocido.</w:t>
      </w:r>
    </w:p>
    <w:p>
      <w:pPr>
        <w:pStyle w:val="Heading2"/>
      </w:pPr>
      <w:r>
        <w:t>5.3 Búsquedas y alertas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Aplica los filtros deseados en Concursos disponibles.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Selecciona Guardar búsqueda.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Asigna un nombre descriptivo, por ejemplo: Fondos ambientales Chile 2026.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Activa el resumen diario y elige una hora local si el correo está habilitado.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/>
        </w:rPr>
        <w:t>Desde Alertas puedes abrir, activar, desactivar o eliminar cada búsqueda.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Privacidad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Las búsquedas guardadas son privadas. Una alerta informa oportunidades nuevas, pero no confirma que tu organización pueda postular.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6. Interpretar la compatibilidad</w:t>
      </w:r>
    </w:p>
    <w:p>
      <w:pPr>
        <w:pStyle w:val="Heading2"/>
      </w:pPr>
      <w:r>
        <w:t>6.1 Calcular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Actualiza el perfil institucional y el proyecto.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Entra a Compatibilidad y selecciona un proyecto.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Selecciona Calcular compatibilidad.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Espera a que aparezca la ejecución completada y revisa sus resultados.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/>
        </w:rPr>
        <w:t>Abre cada fondo para leer condiciones excluyentes, razones y datos utilizados.</w:t>
      </w:r>
    </w:p>
    <w:p>
      <w:r>
        <w:rPr>
          <w:rFonts w:ascii="Calibri" w:hAnsi="Calibri"/>
        </w:rPr>
        <w:t>El cálculo compara datos estructurados de un proyecto con un máximo acotado de fondos activos. Es determinístico y reproducible: no usa IA para decidir ni cambia los requisitos del financiador.</w:t>
      </w:r>
    </w:p>
    <w:p>
      <w:pPr>
        <w:pStyle w:val="Heading2"/>
      </w:pPr>
      <w:r>
        <w:t>6.2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536"/>
        <w:gridCol w:w="2880"/>
      </w:tblGrid>
      <w:tr>
        <w:trPr>
          <w:tblHeader w:val="true"/>
          <w:cantSplit/>
        </w:trPr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Resultado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Interpretación correcta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Acción recomendada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Compatible</w:t>
            </w:r>
          </w:p>
        </w:tc>
        <w:tc>
          <w:tcPr>
            <w:tcW w:type="dxa" w:w="45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se detectaron fallos en las condiciones excluyentes evaluadas y existen datos suficientes.</w:t>
            </w:r>
          </w:p>
        </w:tc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Revisar igualmente las bases completas y preparar una postulación.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Incompatible</w:t>
            </w:r>
          </w:p>
        </w:tc>
        <w:tc>
          <w:tcPr>
            <w:tcW w:type="dxa" w:w="45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Al menos una condición excluyente evaluada no se cumple.</w:t>
            </w:r>
          </w:p>
        </w:tc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Abrir las razones, verificar el dato y descartar o corregir si corresponde.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Datos insuficientes</w:t>
            </w:r>
          </w:p>
        </w:tc>
        <w:tc>
          <w:tcPr>
            <w:tcW w:type="dxa" w:w="453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Falta información para decidir una o más condiciones excluyentes.</w:t>
            </w:r>
          </w:p>
        </w:tc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Completar el perfil/proyecto o revisar manualmente el requisito.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Desconocido nunca equivale a aprobado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Los datos ausentes aportan cero al puntaje de esa regla y reducen la cobertura. No se redistribuyen puntos para ocultar información faltante.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6.3 Puntaje, cobertura y vigencia</w:t>
      </w:r>
    </w:p>
    <w:p>
      <w:pPr>
        <w:pStyle w:val="ListBullet"/>
      </w:pPr>
      <w:r>
        <w:rPr>
          <w:rFonts w:ascii="Calibri" w:hAnsi="Calibri"/>
        </w:rPr>
        <w:t>Las condiciones excluyentes se muestran separadas del puntaje.</w:t>
      </w:r>
    </w:p>
    <w:p>
      <w:pPr>
        <w:pStyle w:val="ListBullet"/>
      </w:pPr>
      <w:r>
        <w:rPr>
          <w:rFonts w:ascii="Calibri" w:hAnsi="Calibri"/>
        </w:rPr>
        <w:t>Si una condición excluyente falla, el resultado es Incompatible y el puntaje puede mostrarse como No aplica.</w:t>
      </w:r>
    </w:p>
    <w:p>
      <w:pPr>
        <w:pStyle w:val="ListBullet"/>
      </w:pPr>
      <w:r>
        <w:rPr>
          <w:rFonts w:ascii="Calibri" w:hAnsi="Calibri"/>
        </w:rPr>
        <w:t>La cobertura indica cuánto de la comparación pudo evaluarse con datos disponibles.</w:t>
      </w:r>
    </w:p>
    <w:p>
      <w:pPr>
        <w:pStyle w:val="ListBullet"/>
      </w:pPr>
      <w:r>
        <w:rPr>
          <w:rFonts w:ascii="Calibri" w:hAnsi="Calibri"/>
        </w:rPr>
        <w:t>Las razones explican qué regla pasó, falló o quedó desconocida; revisa la evidencia mostrada.</w:t>
      </w:r>
    </w:p>
    <w:p>
      <w:pPr>
        <w:pStyle w:val="ListBullet"/>
      </w:pPr>
      <w:r>
        <w:rPr>
          <w:rFonts w:ascii="Calibri" w:hAnsi="Calibri"/>
        </w:rPr>
        <w:t>Una ejecución deja de estar vigente si cambia el proyecto, el perfil, el contenido del fondo o la configuración de reglas.</w:t>
      </w:r>
    </w:p>
    <w:p>
      <w:pPr>
        <w:pStyle w:val="ListBullet"/>
      </w:pPr>
      <w:r>
        <w:rPr>
          <w:rFonts w:ascii="Calibri" w:hAnsi="Calibri"/>
        </w:rPr>
        <w:t>Los proyectos archivados permiten consultar el historial, pero no calcular una versión nueva.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GUÍA VISUAL 5 · Resultados de compatibilidad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Seleccionar proyecto  →  Calcular  →  Compatible / Incompatible / Datos insuficientes  →  Cobertura y razones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67085"/>
                <w:sz w:val="18"/>
              </w:rPr>
              <w:t>El estado global, la cobertura y las razones se leen juntos; ninguno confirma elegibilidad.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i/>
                <w:color w:val="667085"/>
                <w:sz w:val="16"/>
              </w:rPr>
              <w:t>Figura 5. Esquema orientativo de resultados de compatibilidad; la posición exacta puede variar según pantalla y versión.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EEE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Aviso que siempre debes recordar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Resultado orientativo basado en datos disponibles; no confirma elegibilidad ni reemplaza la revisión de las bases del fondo.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7. Postulaciones y calendario</w:t>
      </w:r>
    </w:p>
    <w:p>
      <w:pPr>
        <w:pStyle w:val="Heading2"/>
      </w:pPr>
      <w:r>
        <w:t>7.1 Iniciar y mantener una postulación</w:t>
      </w:r>
    </w:p>
    <w:p>
      <w:r>
        <w:rPr>
          <w:rFonts w:ascii="Calibri" w:hAnsi="Calibri"/>
        </w:rPr>
        <w:t>Una postulación es un registro interno que relaciona un proyecto con una oportunidad. No se envía al financiador desde FundingPlatform.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Desde el detalle de un concurso, selecciona Iniciar postulación; también puedes usar Nueva postulación en el módulo Postulaciones.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Selecciona el proyecto correspondiente y la oportunidad.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Registra notas internas, fechas planificadas, monto solicitado y moneda cuando corresponda.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Actualiza el estado a medida que avanza el trabajo.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/>
        </w:rPr>
        <w:t>Guarda y confirma el mensaje de éxito antes de cerrar la pantalla.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Estado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Uso sugerido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Interesada</w:t>
            </w:r>
          </w:p>
        </w:tc>
        <w:tc>
          <w:tcPr>
            <w:tcW w:type="dxa" w:w="70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organización decidió explorar la oportunidad.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Preparando</w:t>
            </w:r>
          </w:p>
        </w:tc>
        <w:tc>
          <w:tcPr>
            <w:tcW w:type="dxa" w:w="70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El equipo está reuniendo antecedentes o redactando.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Presentada</w:t>
            </w:r>
          </w:p>
        </w:tc>
        <w:tc>
          <w:tcPr>
            <w:tcW w:type="dxa" w:w="70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postulación fue enviada fuera de FundingPlatform.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Adjudicada</w:t>
            </w:r>
          </w:p>
        </w:tc>
        <w:tc>
          <w:tcPr>
            <w:tcW w:type="dxa" w:w="70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El financiador confirmó un resultado favorable.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Rechazada</w:t>
            </w:r>
          </w:p>
        </w:tc>
        <w:tc>
          <w:tcPr>
            <w:tcW w:type="dxa" w:w="70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postulación no fue seleccionada.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Descartada</w:t>
            </w:r>
          </w:p>
        </w:tc>
        <w:tc>
          <w:tcPr>
            <w:tcW w:type="dxa" w:w="705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organización decidió no continuar.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Conflicto de edición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 otra persona guardó cambios mientras tenías la ficha abierta, la plataforma puede pedirte recargar la versión actual. Revisa la información antes de volver a guardar.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</w:pPr>
      <w:r>
        <w:t>7.2 Usar el calendario</w:t>
      </w:r>
    </w:p>
    <w:p>
      <w:r>
        <w:rPr>
          <w:rFonts w:ascii="Calibri" w:hAnsi="Calibri"/>
        </w:rPr>
        <w:t>El calendario reúne cierres e hitos registrados en proyectos, postulaciones y favoritos. Puedes avanzar o retroceder por mes y abrir el elemento relacionado.</w:t>
      </w:r>
    </w:p>
    <w:p>
      <w:pPr>
        <w:pStyle w:val="ListBullet"/>
      </w:pPr>
      <w:r>
        <w:rPr>
          <w:rFonts w:ascii="Calibri" w:hAnsi="Calibri"/>
        </w:rPr>
        <w:t>Mantén las fechas de proyecto y postulación actualizadas.</w:t>
      </w:r>
    </w:p>
    <w:p>
      <w:pPr>
        <w:pStyle w:val="ListBullet"/>
      </w:pPr>
      <w:r>
        <w:rPr>
          <w:rFonts w:ascii="Calibri" w:hAnsi="Calibri"/>
        </w:rPr>
        <w:t>No confíes solo en el calendario para una fecha de cierre; revisa la fuente oficial.</w:t>
      </w:r>
    </w:p>
    <w:p>
      <w:pPr>
        <w:pStyle w:val="ListBullet"/>
      </w:pPr>
      <w:r>
        <w:rPr>
          <w:rFonts w:ascii="Calibri" w:hAnsi="Calibri"/>
        </w:rPr>
        <w:t>Si no hay hitos en un mes, revisa otro mes o agrega fechas a proyectos y postulaciones.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Borders>
              <w:top w:val="single" w:sz="6" w:color="98A2B3"/>
              <w:left w:val="single" w:sz="6" w:color="98A2B3"/>
              <w:bottom w:val="single" w:sz="6" w:color="98A2B3"/>
              <w:right w:val="single" w:sz="6" w:color="98A2B3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2"/>
              </w:rPr>
              <w:t>GUÍA VISUAL 6 · Postulaciones y calendario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8"/>
              </w:rPr>
              <w:t>Proyecto + oportunidad  →  Estado y fechas  →  Guardar postulación  →  Mes anterior / siguiente  →  Abrir hito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667085"/>
                <w:sz w:val="18"/>
              </w:rPr>
              <w:t>La postulación conserva su avance interno y las fechas relacionadas aparecen en la agenda mensual.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i/>
                <w:color w:val="667085"/>
                <w:sz w:val="16"/>
              </w:rPr>
              <w:t>Figura 6. Esquema orientativo de postulaciones y calendario; la posición exacta puede variar según pantalla y versión.</w:t>
            </w:r>
          </w:p>
        </w:tc>
        <w:trPr>
          <w:tblHeader/>
        </w:trPr>
      </w:tr>
    </w:tbl>
    <w:p>
      <w:pPr>
        <w:pStyle w:val="Heading1"/>
      </w:pPr>
      <w:r>
        <w:t>8. Conexiones y marketplace</w:t>
      </w:r>
    </w:p>
    <w:p>
      <w:pPr>
        <w:pStyle w:val="Heading2"/>
      </w:pPr>
      <w:r>
        <w:t>8.1 Marketplace público</w:t>
      </w:r>
    </w:p>
    <w:p>
      <w:r>
        <w:rPr>
          <w:rFonts w:ascii="Calibri" w:hAnsi="Calibri"/>
        </w:rPr>
        <w:t>El marketplace muestra proyectos publicados y perfiles públicos seguros. No expone borradores ni datos privados de la organización.</w:t>
      </w:r>
    </w:p>
    <w:p>
      <w:pPr>
        <w:pStyle w:val="ListBullet"/>
      </w:pPr>
      <w:r>
        <w:rPr>
          <w:rFonts w:ascii="Calibri" w:hAnsi="Calibri"/>
        </w:rPr>
        <w:t>Verifica qué información será pública antes de solicitar la publicación de un proyecto.</w:t>
      </w:r>
    </w:p>
    <w:p>
      <w:pPr>
        <w:pStyle w:val="ListBullet"/>
      </w:pPr>
      <w:r>
        <w:rPr>
          <w:rFonts w:ascii="Calibri" w:hAnsi="Calibri"/>
        </w:rPr>
        <w:t>Un perfil público de organización solo aparece cuando cumple las condiciones de visibilidad.</w:t>
      </w:r>
    </w:p>
    <w:p>
      <w:pPr>
        <w:pStyle w:val="ListBullet"/>
      </w:pPr>
      <w:r>
        <w:rPr>
          <w:rFonts w:ascii="Calibri" w:hAnsi="Calibri"/>
        </w:rPr>
        <w:t>No publiques correos personales, teléfonos privados, identificadores tributarios ni notas internas en descripciones públicas.</w:t>
      </w:r>
    </w:p>
    <w:p>
      <w:pPr>
        <w:pStyle w:val="Heading2"/>
      </w:pPr>
      <w:r>
        <w:t>8.2 Directorio y conexiones</w:t>
      </w:r>
    </w:p>
    <w:p>
      <w:r>
        <w:rPr>
          <w:rFonts w:ascii="Calibri" w:hAnsi="Calibri"/>
        </w:rPr>
        <w:t>La organización no aparece en el directorio por defecto. Un administrador de la organización puede activar la visibilidad y decidir si acepta nuevas solicitudes.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Entra a Conexiones y revisa Privacidad y visibilidad.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Si tienes permisos, activa el directorio y la recepción de solicitudes.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Busca organizaciones por nombre o descripción y abre su perfil público.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Para invitar, elige un propósito, un proyecto público opcional y escribe un mensaje breve sin datos de contacto.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/>
        </w:rPr>
        <w:t>Revisa Solicitudes y conexiones para aceptar, rechazar o retirar acciones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cBorders>
              <w:left w:val="single" w:sz="8" w:color="2E74B5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Sin chat ni publicación automática de contacto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El primer mensaje es privado para las dos organizaciones. Aceptar una conexión no publica automáticamente correos, teléfonos ni enlaces.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9. Cuenta, seguridad y suscripción</w:t>
      </w:r>
    </w:p>
    <w:p>
      <w:pPr>
        <w:pStyle w:val="Heading2"/>
      </w:pPr>
      <w:r>
        <w:t>9.1 Seguridad de la cuenta</w:t>
      </w:r>
    </w:p>
    <w:p>
      <w:pPr>
        <w:pStyle w:val="ListBullet"/>
      </w:pPr>
      <w:r>
        <w:rPr>
          <w:rFonts w:ascii="Calibri" w:hAnsi="Calibri"/>
        </w:rPr>
        <w:t>Usa una contraseña única de al menos 12 caracteres cuando el acceso local esté habilitado.</w:t>
      </w:r>
    </w:p>
    <w:p>
      <w:pPr>
        <w:pStyle w:val="ListBullet"/>
      </w:pPr>
      <w:r>
        <w:rPr>
          <w:rFonts w:ascii="Calibri" w:hAnsi="Calibri"/>
        </w:rPr>
        <w:t>No compartas códigos MFA ni códigos de recuperación.</w:t>
      </w:r>
    </w:p>
    <w:p>
      <w:pPr>
        <w:pStyle w:val="ListBullet"/>
      </w:pPr>
      <w:r>
        <w:rPr>
          <w:rFonts w:ascii="Calibri" w:hAnsi="Calibri"/>
        </w:rPr>
        <w:t>Guarda los códigos de recuperación en un lugar seguro; se muestran una sola vez al activar MFA.</w:t>
      </w:r>
    </w:p>
    <w:p>
      <w:pPr>
        <w:pStyle w:val="ListBullet"/>
      </w:pPr>
      <w:r>
        <w:rPr>
          <w:rFonts w:ascii="Calibri" w:hAnsi="Calibri"/>
        </w:rPr>
        <w:t>Desde Mi cuenta puedes vincular una identidad Microsoft cuando la integración esté disponible.</w:t>
      </w:r>
    </w:p>
    <w:p>
      <w:pPr>
        <w:pStyle w:val="ListBullet"/>
      </w:pPr>
      <w:r>
        <w:rPr>
          <w:rFonts w:ascii="Calibri" w:hAnsi="Calibri"/>
        </w:rPr>
        <w:t>Una cuenta Microsoft personal y una laboral con el mismo correo son identidades distintas: selecciona la correcta.</w:t>
      </w:r>
    </w:p>
    <w:p>
      <w:pPr>
        <w:pStyle w:val="ListBullet"/>
      </w:pPr>
      <w:r>
        <w:rPr>
          <w:rFonts w:ascii="Calibri" w:hAnsi="Calibri"/>
        </w:rPr>
        <w:t>Cierra sesión al terminar, especialmente en equipos compartidos.</w:t>
      </w:r>
    </w:p>
    <w:p>
      <w:pPr>
        <w:pStyle w:val="Heading2"/>
      </w:pPr>
      <w:r>
        <w:t>9.2 Suscripción</w:t>
      </w:r>
    </w:p>
    <w:p>
      <w:r>
        <w:rPr>
          <w:rFonts w:ascii="Calibri" w:hAnsi="Calibri"/>
        </w:rPr>
        <w:t>La suscripción pertenece a la organización. En la etapa actual, los cobros están deshabilitados o limitados a pruebas. La pantalla Suscripción informa el plan y su estado, pero no debes ingresar datos de tarjeta si el equipo de implementación no ha anunciado un flujo de pago habilitado.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EEE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Ante una solicitud inesperada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 una pantalla o mensaje solicita datos bancarios fuera del flujo informado, detente y consulta al administrador de la plataforma.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10. Flujos recomendados</w:t>
      </w:r>
    </w:p>
    <w:p>
      <w:pPr>
        <w:pStyle w:val="Heading2"/>
      </w:pPr>
      <w:r>
        <w:t>10.1 Preparar la organización para buscar fondos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Completa Identidad, Impacto y Financiamiento del perfil institucional.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Crea un proyecto con territorios, beneficiarios, categorías, fechas y presupuesto.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Revisa la brecha de financiamiento y guarda.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Explora Concursos disponibles y guarda los más relevantes.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Calcula compatibilidad y revisa razones, cobertura y vigencia.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/>
        </w:rPr>
        <w:t>Lee las bases oficiales antes de iniciar una postulación.</w:t>
      </w:r>
    </w:p>
    <w:p>
      <w:pPr>
        <w:pStyle w:val="Heading2"/>
      </w:pPr>
      <w:r>
        <w:t>10.2 Organizar una postulación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Abre la oportunidad y confirma el cierre en la fuente oficial.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Inicia la postulación y vincula el proyecto correcto.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Registra responsables fuera de la plataforma si tu equipo lo requiere; FundingPlatform no reemplaza tu herramienta de colaboración.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Agrega hitos y fechas; revisa el calendario del mes.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/>
        </w:rPr>
        <w:t>Actualiza el estado cuando se presenta y cuando llega el resultado.</w:t>
      </w:r>
    </w:p>
    <w:p>
      <w:pPr>
        <w:pStyle w:val="Heading2"/>
      </w:pPr>
      <w:r>
        <w:t>10.3 Revisión semanal</w:t>
      </w:r>
    </w:p>
    <w:p>
      <w:pPr>
        <w:pStyle w:val="ListBullet"/>
      </w:pPr>
      <w:r>
        <w:rPr>
          <w:rFonts w:ascii="Calibri" w:hAnsi="Calibri"/>
        </w:rPr>
        <w:t>Revisar concursos con cierre próximo.</w:t>
      </w:r>
    </w:p>
    <w:p>
      <w:pPr>
        <w:pStyle w:val="ListBullet"/>
      </w:pPr>
      <w:r>
        <w:rPr>
          <w:rFonts w:ascii="Calibri" w:hAnsi="Calibri"/>
        </w:rPr>
        <w:t>Verificar favoritos y búsquedas guardadas.</w:t>
      </w:r>
    </w:p>
    <w:p>
      <w:pPr>
        <w:pStyle w:val="ListBullet"/>
      </w:pPr>
      <w:r>
        <w:rPr>
          <w:rFonts w:ascii="Calibri" w:hAnsi="Calibri"/>
        </w:rPr>
        <w:t>Actualizar postulaciones y fechas del calendario.</w:t>
      </w:r>
    </w:p>
    <w:p>
      <w:pPr>
        <w:pStyle w:val="ListBullet"/>
      </w:pPr>
      <w:r>
        <w:rPr>
          <w:rFonts w:ascii="Calibri" w:hAnsi="Calibri"/>
        </w:rPr>
        <w:t>Recalcular compatibilidad solo cuando cambien datos relevantes.</w:t>
      </w:r>
    </w:p>
    <w:p>
      <w:pPr>
        <w:pStyle w:val="ListBullet"/>
      </w:pPr>
      <w:r>
        <w:rPr>
          <w:rFonts w:ascii="Calibri" w:hAnsi="Calibri"/>
        </w:rPr>
        <w:t>Archivar proyectos que ya no están activos sin perder su historial.</w:t>
      </w:r>
    </w:p>
    <w:p>
      <w:pPr>
        <w:pStyle w:val="Heading1"/>
      </w:pPr>
      <w:r>
        <w:t>11.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384"/>
        <w:gridCol w:w="3384"/>
      </w:tblGrid>
      <w:tr>
        <w:trPr>
          <w:tblHeader w:val="true"/>
          <w:cantSplit/>
        </w:trPr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Situación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Qué revisar</w:t>
            </w:r>
          </w:p>
        </w:tc>
        <w:tc>
          <w:tcPr>
            <w:tcW w:type="dxa" w:w="312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puedo iniciar sesión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Correo, contraseña, verificación, MFA y ambiente correcto.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Reintenta una vez. Si persiste, solicita restauración de acceso al administrador.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Registro o recuperación no disponible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El ambiente puede tener correo deshabilitado.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Pide acceso o recuperación manual al equipo del piloto.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veo una organización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cuenta puede no tener membresía o el onboarding no terminó.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Completa el onboarding o pide que revisen tu membresía.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puedo editar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Rol, estado publicado/archivado y cambios de otra persona.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Recarga la ficha y confirma tus permisos.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 hay resultados de compatibilidad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Proyecto archivado, datos incompletos, conexión o ausencia de fondos candidatos.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Completa datos, revisa el estado y reintenta una sola vez.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Resultado Datos insuficientes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Perfil o proyecto carece de datos usados por una condición.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Abre las razones y completa solo información verificada.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Una fecha parece distinta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Zona horaria y precisión de la fecha oficial.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Confirma día y hora en la fuente del financiador.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alerta no envía correo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 búsqueda puede existir con correo deshabilitado.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Usa Abrir desde Alertas y consulta el estado del ambiente.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Cambios rechazados al guardar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Otra persona pudo actualizar la ficha.</w:t>
            </w:r>
          </w:p>
        </w:tc>
        <w:tc>
          <w:tcPr>
            <w:tcW w:type="dxa" w:w="3384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Recarga, compara y vuelve a aplicar tus cambios.</w:t>
            </w:r>
          </w:p>
        </w:tc>
      </w:tr>
    </w:tbl>
    <w:p>
      <w:pPr>
        <w:spacing w:after="0"/>
      </w:pPr>
    </w:p>
    <w:p>
      <w:pPr>
        <w:pStyle w:val="Heading2"/>
      </w:pPr>
      <w:r>
        <w:t>11.1 Información útil al pedir soporte</w:t>
      </w:r>
    </w:p>
    <w:p>
      <w:pPr>
        <w:pStyle w:val="ListBullet"/>
      </w:pPr>
      <w:r>
        <w:rPr>
          <w:rFonts w:ascii="Calibri" w:hAnsi="Calibri"/>
        </w:rPr>
        <w:t>Fecha y hora aproximada del problema.</w:t>
      </w:r>
    </w:p>
    <w:p>
      <w:pPr>
        <w:pStyle w:val="ListBullet"/>
      </w:pPr>
      <w:r>
        <w:rPr>
          <w:rFonts w:ascii="Calibri" w:hAnsi="Calibri"/>
        </w:rPr>
        <w:t>Pantalla y acción realizada, sin incluir contraseñas ni códigos MFA.</w:t>
      </w:r>
    </w:p>
    <w:p>
      <w:pPr>
        <w:pStyle w:val="ListBullet"/>
      </w:pPr>
      <w:r>
        <w:rPr>
          <w:rFonts w:ascii="Calibri" w:hAnsi="Calibri"/>
        </w:rPr>
        <w:t>Mensaje mostrado por la plataforma.</w:t>
      </w:r>
    </w:p>
    <w:p>
      <w:pPr>
        <w:pStyle w:val="ListBullet"/>
      </w:pPr>
      <w:r>
        <w:rPr>
          <w:rFonts w:ascii="Calibri" w:hAnsi="Calibri"/>
        </w:rPr>
        <w:t>Navegador y dispositivo utilizados.</w:t>
      </w:r>
    </w:p>
    <w:p>
      <w:pPr>
        <w:pStyle w:val="ListBullet"/>
      </w:pPr>
      <w:r>
        <w:rPr>
          <w:rFonts w:ascii="Calibri" w:hAnsi="Calibri"/>
        </w:rPr>
        <w:t>Identificador público del proyecto, concurso o postulación, si está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EEE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Nunca envíes a soporte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Contraseñas, tokens, códigos MFA, códigos de recuperación, datos bancarios o capturas que expongan información personal innecesaria.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12.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Término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65D"/>
                <w:sz w:val="20"/>
              </w:rPr>
              <w:t>Definición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Brecha de financiamiento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Diferencia pendiente entre el presupuesto del proyecto y el financiamiento confirmado.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Cobertura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Porcentaje ponderado de reglas que pudo evaluarse con datos disponibles.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Condición excluyente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Requisito cuyo incumplimiento puede hacer que el resultado sea Incompatible.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Datos insuficientes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Estado que indica información desconocida para una condición relevante.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Elegibilidad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Cumplimiento real de todas las bases del financiador. FundingPlatform no la confirma.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ETag o versión de edición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Mecanismo que evita sobrescribir silenciosamente cambios hechos por otra persona.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Favorito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Concurso guardado para acceder rápidamente; no equivale a postulación.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Marketplace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Catálogo público de proyectos y organizaciones que autorizaron su publicación.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MFA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Segundo factor de autenticación mediante código temporal o recuperación.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Postulación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Registro interno de seguimiento; el envío al financiador ocurre fuera de FundingPlatform.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Proyecto archivado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Proyecto que conserva historial pero ya no admite ciertas acciones nuevas.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Vigencia</w:t>
            </w:r>
          </w:p>
        </w:tc>
        <w:tc>
          <w:tcPr>
            <w:tcW w:type="dxa" w:w="6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Indica si un cálculo aún corresponde a las versiones actuales de los datos.</w:t>
            </w:r>
          </w:p>
        </w:tc>
      </w:tr>
    </w:tbl>
    <w:p>
      <w:pPr>
        <w:spacing w:after="0"/>
      </w:pPr>
    </w:p>
    <w:p>
      <w:pPr>
        <w:pStyle w:val="Heading1"/>
      </w:pPr>
      <w:r>
        <w:t>Cierre</w:t>
      </w:r>
    </w:p>
    <w:p>
      <w:r>
        <w:rPr>
          <w:rFonts w:ascii="Calibri" w:hAnsi="Calibri"/>
        </w:rPr>
        <w:t>FundingPlatform es más útil cuando el equipo mantiene datos completos, separa claramente cada proyecto y usa los resultados como apoyo para revisar oportunidades, no como una decisión automática.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7F0"/>
            <w:tcBorders>
              <w:left w:val="single" w:sz="8" w:color="C68A00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20"/>
              </w:rPr>
              <w:t>Regla final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Antes de postular: confirma la fuente oficial, lee las bases completas, verifica la fecha y documenta internamente la decisión.</w:t>
            </w:r>
          </w:p>
        </w:tc>
        <w:trPr>
          <w:tblHeader/>
        </w:trPr>
      </w:tr>
    </w:tbl>
    <w:p>
      <w:pPr>
        <w:spacing w:after="0"/>
      </w:pPr>
    </w:p>
    <w:p>
      <w:pPr>
        <w:pStyle w:val="Smallnote"/>
        <w:jc w:val="center"/>
      </w:pPr>
      <w:r>
        <w:rPr>
          <w:rFonts w:ascii="Calibri" w:hAnsi="Calibri"/>
          <w:b/>
          <w:color w:val="667085"/>
          <w:sz w:val="18"/>
        </w:rPr>
        <w:t>Fin del manual · Versión 1.0 · Agosto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 xml:space="preserve">FundingPlatform · Guía para organizaciones · </w:t>
    </w:r>
    <w:r>
      <w:rPr>
        <w:rFonts w:ascii="Calibri" w:hAnsi="Calibri"/>
        <w:color w:val="667085"/>
        <w:sz w:val="16"/>
      </w:rPr>
      <w:t xml:space="preserve">Página </w:t>
    </w:r>
    <w:r>
      <w:rPr>
        <w:rFonts w:ascii="Calibri" w:hAnsi="Calibri"/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448"/>
    </w:tblGrid>
    <w:tr>
      <w:tc>
        <w:tcPr>
          <w:tcW w:type="dxa" w:w="4680"/>
          <w:tcMar>
            <w:top w:w="0" w:type="dxa"/>
            <w:start w:w="0" w:type="dxa"/>
            <w:bottom w:w="60" w:type="dxa"/>
            <w:end w:w="0" w:type="dxa"/>
          </w:tcMar>
          <w:tcBorders>
            <w:bottom w:val="single" w:sz="8" w:color="2E74B5"/>
          </w:tcBorders>
        </w:tcPr>
        <w:p>
          <w:pPr>
            <w:jc w:val="left"/>
          </w:pPr>
          <w:r>
            <w:rPr>
              <w:rFonts w:ascii="Calibri" w:hAnsi="Calibri"/>
              <w:b/>
              <w:color w:val="17365D"/>
              <w:sz w:val="18"/>
            </w:rPr>
            <w:t>FUNDINGPLATFORM</w:t>
          </w:r>
        </w:p>
      </w:tc>
      <w:tc>
        <w:tcPr>
          <w:tcW w:type="dxa" w:w="4680"/>
          <w:tcMar>
            <w:top w:w="0" w:type="dxa"/>
            <w:start w:w="0" w:type="dxa"/>
            <w:bottom w:w="60" w:type="dxa"/>
            <w:end w:w="0" w:type="dxa"/>
          </w:tcMar>
          <w:tcBorders>
            <w:bottom w:val="single" w:sz="8" w:color="2E74B5"/>
          </w:tcBorders>
        </w:tcPr>
        <w:p>
          <w:pPr>
            <w:jc w:val="right"/>
          </w:pPr>
          <w:r>
            <w:rPr>
              <w:rFonts w:ascii="Calibri" w:hAnsi="Calibri"/>
              <w:b/>
              <w:color w:val="667085"/>
              <w:sz w:val="16"/>
            </w:rPr>
            <w:t>MANUAL DE USUARIO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 w:line="276" w:lineRule="auto"/>
    </w:pPr>
    <w:rPr>
      <w:rFonts w:ascii="Calibri" w:hAnsi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FundingPlatform</dc:title>
  <dc:subject>Guía práctica para organizaciones usuarias de Rise Funding</dc:subject>
  <dc:creator>Rise Funding</dc:creator>
  <cp:keywords>fondos concursables, ONG, proyectos, compatibilidad, postulaciones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