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t xml:space="preserve">Fase de Inspección Física — GRIMM EDM180</w:t>
      </w:r>
    </w:p>
    <w:p>
      <w:pPr>
        <w:pStyle w:val="Heading2"/>
        <w:spacing w:after="120" w:before="240"/>
      </w:pPr>
      <w:r>
        <w:t xml:space="preserve">Estructura jerárquica derivada del notebook «ST Grimm EDM180»</w:t>
      </w:r>
    </w:p>
    <w:p>
      <w:pPr>
        <w:spacing w:after="160"/>
      </w:pPr>
      <w:r>
        <w:rPr>
          <w:b/>
          <w:bCs/>
        </w:rPr>
        <w:t xml:space="preserve">Última actualización:</w:t>
      </w:r>
      <w:r>
        <w:t xml:space="preserve"> 2026-09-03 (v6) · </w:t>
      </w:r>
      <w:r>
        <w:rPr>
          <w:b/>
          <w:bCs/>
        </w:rPr>
        <w:t xml:space="preserve">Fuentes:</w:t>
      </w:r>
      <w:r>
        <w:t xml:space="preserve"> notebook </w:t>
      </w:r>
      <w:r>
        <w:rPr>
          <w:rFonts w:ascii="Consolas" w:cs="Consolas" w:eastAsia="Consolas" w:hAnsi="Consolas"/>
        </w:rPr>
        <w:t xml:space="preserve">ST Grimm EDM180</w:t>
      </w:r>
      <w:r>
        <w:t xml:space="preserve"> en NotebookLM + categoría </w:t>
      </w:r>
      <w:r>
        <w:rPr>
          <w:b/>
          <w:bCs/>
        </w:rPr>
        <w:t xml:space="preserve">C&amp;R EDM 180</w:t>
      </w:r>
      <w:r>
        <w:t xml:space="preserve"> en Zoho Books (Ambientalia) + criterio propio de Ambientalia (severidad de falla) </w:t>
      </w:r>
      <w:r>
        <w:rPr>
          <w:b/>
          <w:bCs/>
        </w:rPr>
        <w:t xml:space="preserve">Entregable asociado:</w:t>
      </w:r>
      <w:r>
        <w:t xml:space="preserve"> </w:t>
      </w:r>
      <w:r>
        <w:rPr>
          <w:rFonts w:ascii="Consolas" w:cs="Consolas" w:eastAsia="Consolas" w:hAnsi="Consolas"/>
        </w:rPr>
        <w:t xml:space="preserve">Inspeccion_Fisica_GRIMM_EDM180_v1.xlsx</w:t>
      </w:r>
    </w:p>
    <w:p>
      <w:pPr>
        <w:pBdr>
          <w:bottom w:val="single" w:color="BFBFBF" w:sz="6" w:space="1"/>
        </w:pBdr>
        <w:spacing w:after="200"/>
      </w:pPr>
    </w:p>
    <w:p>
      <w:pPr>
        <w:pStyle w:val="Heading2"/>
        <w:spacing w:after="120" w:before="240"/>
      </w:pPr>
      <w:r>
        <w:t xml:space="preserve">0. Changelog v6 (2026-09-03)</w:t>
      </w:r>
    </w:p>
    <w:p>
      <w:pPr>
        <w:spacing w:after="160"/>
      </w:pPr>
      <w:r>
        <w:t xml:space="preserve">A pedido del usuario, se añadió la columna </w:t>
      </w:r>
      <w:r>
        <w:rPr>
          <w:b/>
          <w:bCs/>
        </w:rPr>
        <w:t xml:space="preserve">M «Criterio de falla»</w:t>
      </w:r>
      <w:r>
        <w:t xml:space="preserve"> al catálogo, con tres niveles fijos por ítem:</w:t>
      </w:r>
    </w:p>
    <w:p>
      <w:pPr>
        <w:pStyle w:val="ListParagraph"/>
        <w:numPr>
          <w:ilvl w:val="0"/>
          <w:numId w:val="1"/>
        </w:numPr>
        <w:spacing w:after="80"/>
      </w:pPr>
      <w:r>
        <w:rPr>
          <w:b/>
          <w:bCs/>
        </w:rPr>
        <w:t xml:space="preserve">Alerta</w:t>
      </w:r>
      <w:r>
        <w:t xml:space="preserve"> — se registra y se informa, no detiene el proceso.</w:t>
      </w:r>
    </w:p>
    <w:p>
      <w:pPr>
        <w:pStyle w:val="ListParagraph"/>
        <w:numPr>
          <w:ilvl w:val="0"/>
          <w:numId w:val="1"/>
        </w:numPr>
        <w:spacing w:after="80"/>
      </w:pPr>
      <w:r>
        <w:rPr>
          <w:b/>
          <w:bCs/>
        </w:rPr>
        <w:t xml:space="preserve">Cobrable</w:t>
      </w:r>
      <w:r>
        <w:t xml:space="preserve"> — genera línea de cotización; alimenta el presupuesto al cliente.</w:t>
      </w:r>
    </w:p>
    <w:p>
      <w:pPr>
        <w:pStyle w:val="ListParagraph"/>
        <w:numPr>
          <w:ilvl w:val="0"/>
          <w:numId w:val="1"/>
        </w:numPr>
        <w:spacing w:after="80"/>
      </w:pPr>
      <w:r>
        <w:rPr>
          <w:b/>
          <w:bCs/>
        </w:rPr>
        <w:t xml:space="preserve">Bloqueante</w:t>
      </w:r>
      <w:r>
        <w:t xml:space="preserve"> — impide continuar; el equipo no se libera sin resolverlo.</w:t>
      </w:r>
    </w:p>
    <w:p>
      <w:pPr>
        <w:spacing w:after="80"/>
      </w:pPr>
    </w:p>
    <w:p>
      <w:pPr>
        <w:spacing w:after="160"/>
      </w:pPr>
      <w:r>
        <w:rPr>
          <w:b/>
          <w:bCs/>
        </w:rPr>
        <w:t xml:space="preserve">Este criterio es enteramente propio de Ambientalia, no un dato publicado por GRIMM</w:t>
      </w:r>
      <w:r>
        <w:t xml:space="preserve"> — ningún documento del notebook (manuales, Service Training, correos de soporte) define niveles de severidad de falla para este equipo. Se asignó ítem por ítem (los 103) con un criterio de ingeniería explícito: se clasificó como </w:t>
      </w:r>
      <w:r>
        <w:rPr>
          <w:b/>
          <w:bCs/>
        </w:rPr>
        <w:t xml:space="preserve">Bloqueante</w:t>
      </w:r>
      <w:r>
        <w:t xml:space="preserve"> todo lo que compromete directamente la exactitud de la medición (flujos, presión de vacío, ganancias por canal, pruebas de fuga y de filtro cero, la respuesta del láser a la verificación con dolomita), la seguridad eléctrica o del láser clase 3B, o la trazabilidad de la identidad/calibración del equipo (series, vigencia de calibración, desviación de masa); como </w:t>
      </w:r>
      <w:r>
        <w:rPr>
          <w:b/>
          <w:bCs/>
        </w:rPr>
        <w:t xml:space="preserve">Cobrable</w:t>
      </w:r>
      <w:r>
        <w:t xml:space="preserve"> todo hallazgo cuya resolución es reemplazar o reparar una pieza física identificada sin que ello detenga por sí solo la operación del equipo (la mayoría de los ítems del catálogo); y como </w:t>
      </w:r>
      <w:r>
        <w:rPr>
          <w:b/>
          <w:bCs/>
        </w:rPr>
        <w:t xml:space="preserve">Alerta</w:t>
      </w:r>
      <w:r>
        <w:t xml:space="preserve"> los hallazgos informativos, de documentación, cosméticos o de funciones opcionales, que se registran pero no requieren una acción inmediata. Resultado de la clasificación: </w:t>
      </w:r>
      <w:r>
        <w:rPr>
          <w:b/>
          <w:bCs/>
        </w:rPr>
        <w:t xml:space="preserve">27 ítems Bloqueante, 57 Cobrable, 19 Alerta</w:t>
      </w:r>
      <w:r>
        <w:t xml:space="preserve"> (de 103).</w:t>
      </w:r>
    </w:p>
    <w:p>
      <w:pPr>
        <w:spacing w:after="160"/>
      </w:pPr>
      <w:r>
        <w:t xml:space="preserve">Es un punto de partida razonado para que Ambientalia lo discuta y ajuste con el equipo técnico — varios casos son juicios de criterio y no verdades cerradas (p. ej. si un hallazgo de limpieza óptica es "Cobrable" por la mano de obra o "Alerta" si se incluye en el mantenimiento estándar); no debe usarse para facturar o para bloquear la entrega de un equipo sin esa revisión.</w:t>
      </w:r>
    </w:p>
    <w:p>
      <w:pPr>
        <w:spacing w:after="160"/>
      </w:pPr>
      <w:r>
        <w:rPr>
          <w:b/>
          <w:bCs/>
        </w:rPr>
        <w:t xml:space="preserve">Cambios en el libro:</w:t>
      </w:r>
    </w:p>
    <w:p>
      <w:pPr>
        <w:pStyle w:val="ListParagraph"/>
        <w:numPr>
          <w:ilvl w:val="0"/>
          <w:numId w:val="1"/>
        </w:numPr>
        <w:spacing w:after="80"/>
      </w:pPr>
      <w:r>
        <w:t xml:space="preserve">Columna M nueva (antes N-T, ahora N-U); columnas A-P son ahora la definición del ítem (antes A-O).</w:t>
      </w:r>
    </w:p>
    <w:p>
      <w:pPr>
        <w:pStyle w:val="ListParagraph"/>
        <w:numPr>
          <w:ilvl w:val="0"/>
          <w:numId w:val="1"/>
        </w:numPr>
        <w:spacing w:after="80"/>
      </w:pPr>
      <w:r>
        <w:t xml:space="preserve">Lista desplegable (Listas!D) y formato condicional semáforo (rojo Bloqueante / naranja Cobrable / amarillo Alerta) en la columna M.</w:t>
      </w:r>
    </w:p>
    <w:p>
      <w:pPr>
        <w:pStyle w:val="ListParagraph"/>
        <w:numPr>
          <w:ilvl w:val="0"/>
          <w:numId w:val="1"/>
        </w:numPr>
        <w:spacing w:after="80"/>
      </w:pPr>
      <w:r>
        <w:t xml:space="preserve">Nueva tabla en la hoja Resumen: </w:t>
      </w:r>
      <w:r>
        <w:rPr>
          <w:b/>
          <w:bCs/>
        </w:rPr>
        <w:t xml:space="preserve">RESUMEN POR CRITERIO DE FALLA</w:t>
      </w:r>
      <w:r>
        <w:t xml:space="preserve">, con el conteo de ítems del catálogo por nivel y cuántos se detectaron como No conforme o Requiere reemplazo en la visita activa — pensada para dimensionar de un vistazo cuántos hallazgos bloquean la entrega y cuántos alimentan la cotización.</w:t>
      </w:r>
    </w:p>
    <w:p>
      <w:pPr>
        <w:spacing w:after="80"/>
      </w:pPr>
    </w:p>
    <w:p>
      <w:pPr>
        <w:pBdr>
          <w:bottom w:val="single" w:color="BFBFBF" w:sz="6" w:space="1"/>
        </w:pBdr>
        <w:spacing w:after="200"/>
      </w:pPr>
    </w:p>
    <w:p>
      <w:pPr>
        <w:pStyle w:val="Heading2"/>
        <w:spacing w:after="120" w:before="240"/>
      </w:pPr>
      <w:r>
        <w:t xml:space="preserve">0.1 Changelog v5 (2026-09-03)</w:t>
      </w:r>
    </w:p>
    <w:p>
      <w:pPr>
        <w:spacing w:after="160"/>
      </w:pPr>
      <w:r>
        <w:t xml:space="preserve">A pedido del usuario, se enriqueció la columna </w:t>
      </w:r>
      <w:r>
        <w:rPr>
          <w:b/>
          <w:bCs/>
        </w:rPr>
        <w:t xml:space="preserve">N «Repuesto / parte asociada»</w:t>
      </w:r>
      <w:r>
        <w:t xml:space="preserve"> cruzando el catálogo de 103 ítems contra los </w:t>
      </w:r>
      <w:r>
        <w:rPr>
          <w:b/>
          <w:bCs/>
        </w:rPr>
        <w:t xml:space="preserve">143 artículos activos de la categoría "C&amp;R EDM 180" en Zoho Books</w:t>
      </w:r>
      <w:r>
        <w:t xml:space="preserve"> (Ambientalia S.A.S., organización 714421387). Resultado: </w:t>
      </w:r>
      <w:r>
        <w:rPr>
          <w:b/>
          <w:bCs/>
        </w:rPr>
        <w:t xml:space="preserve">100 de los 143 artículos</w:t>
      </w:r>
      <w:r>
        <w:t xml:space="preserve"> se asociaron a </w:t>
      </w:r>
      <w:r>
        <w:rPr>
          <w:b/>
          <w:bCs/>
        </w:rPr>
        <w:t xml:space="preserve">67 de los 103 ítems</w:t>
      </w:r>
      <w:r>
        <w:t xml:space="preserve"> del catálogo (antes solo 15 ítems tenían repuesto asignado, todos sacados de los informes MT). Los otros 36 ítems no tienen contraparte física identificable en Zoho (son verificaciones de software, lecturas, pruebas funcionales o hallazgos sin repuesto propio — coherente con lo esperado).</w:t>
      </w:r>
    </w:p>
    <w:p>
      <w:pPr>
        <w:spacing w:after="160"/>
      </w:pPr>
      <w:r>
        <w:rPr>
          <w:b/>
          <w:bCs/>
        </w:rPr>
        <w:t xml:space="preserve">Tres hallazgos relevantes de este cruce:</w:t>
      </w:r>
    </w:p>
    <w:p>
      <w:pPr>
        <w:spacing w:after="160"/>
      </w:pPr>
      <w:r>
        <w:t xml:space="preserve">1. </w:t>
      </w:r>
      <w:r>
        <w:rPr>
          <w:b/>
          <w:bCs/>
        </w:rPr>
        <w:t xml:space="preserve">Corrobora de forma independiente la Bomba de muestra (ítem 3.1.5, hallada en v3).</w:t>
      </w:r>
      <w:r>
        <w:t xml:space="preserve"> Zoho Books tiene una familia de SKUs separada para ella — </w:t>
      </w:r>
      <w:r>
        <w:rPr>
          <w:rFonts w:ascii="Consolas" w:cs="Consolas" w:eastAsia="Consolas" w:hAnsi="Consolas"/>
        </w:rPr>
        <w:t xml:space="preserve">X1809002A115V</w:t>
      </w:r>
      <w:r>
        <w:t xml:space="preserve">/</w:t>
      </w:r>
      <w:r>
        <w:rPr>
          <w:rFonts w:ascii="Consolas" w:cs="Consolas" w:eastAsia="Consolas" w:hAnsi="Consolas"/>
        </w:rPr>
        <w:t xml:space="preserve">X1809002A1</w:t>
      </w:r>
      <w:r>
        <w:t xml:space="preserve"> ("Sampling pump type 203"), </w:t>
      </w:r>
      <w:r>
        <w:rPr>
          <w:rFonts w:ascii="Consolas" w:cs="Consolas" w:eastAsia="Consolas" w:hAnsi="Consolas"/>
        </w:rPr>
        <w:t xml:space="preserve">GRM-SPK-01</w:t>
      </w:r>
      <w:r>
        <w:t xml:space="preserve"> (placa), </w:t>
      </w:r>
      <w:r>
        <w:rPr>
          <w:rFonts w:ascii="Consolas" w:cs="Consolas" w:eastAsia="Consolas" w:hAnsi="Consolas"/>
        </w:rPr>
        <w:t xml:space="preserve">GRM-SPK-02</w:t>
      </w:r>
      <w:r>
        <w:t xml:space="preserve"> (sello) — distinta de la familia de la bomba de vacío/secado (</w:t>
      </w:r>
      <w:r>
        <w:rPr>
          <w:rFonts w:ascii="Consolas" w:cs="Consolas" w:eastAsia="Consolas" w:hAnsi="Consolas"/>
        </w:rPr>
        <w:t xml:space="preserve">1205271</w:t>
      </w:r>
      <w:r>
        <w:t xml:space="preserve">/</w:t>
      </w:r>
      <w:r>
        <w:rPr>
          <w:rFonts w:ascii="Consolas" w:cs="Consolas" w:eastAsia="Consolas" w:hAnsi="Consolas"/>
        </w:rPr>
        <w:t xml:space="preserve">X1809001A115V</w:t>
      </w:r>
      <w:r>
        <w:t xml:space="preserve">, "Vacuum pump model 8006 ASF"). Que el sistema contable de Ambientalia ya maneje estos como repuestos distintos, sin relación con el trabajo de este notebook, es una confirmación independiente de que la v3 identificó bien el componente.</w:t>
      </w:r>
    </w:p>
    <w:p>
      <w:pPr>
        <w:spacing w:after="160"/>
      </w:pPr>
      <w:r>
        <w:t xml:space="preserve">2. </w:t>
      </w:r>
      <w:r>
        <w:rPr>
          <w:b/>
          <w:bCs/>
        </w:rPr>
        <w:t xml:space="preserve">Aporta contexto nuevo sobre la discrepancia de los fusibles</w:t>
      </w:r>
      <w:r>
        <w:t xml:space="preserve"> (abierta desde v3: SER-MAN los menciona, Service Training NEW no). Zoho sí tiene fusibles como artículo activo — </w:t>
      </w:r>
      <w:r>
        <w:rPr>
          <w:rFonts w:ascii="Consolas" w:cs="Consolas" w:eastAsia="Consolas" w:hAnsi="Consolas"/>
        </w:rPr>
        <w:t xml:space="preserve">T1145G570/1A</w:t>
      </w:r>
      <w:r>
        <w:t xml:space="preserve">, </w:t>
      </w:r>
      <w:r>
        <w:rPr>
          <w:rFonts w:ascii="Consolas" w:cs="Consolas" w:eastAsia="Consolas" w:hAnsi="Consolas"/>
        </w:rPr>
        <w:t xml:space="preserve">T112AMT</w:t>
      </w:r>
      <w:r>
        <w:t xml:space="preserve">, </w:t>
      </w:r>
      <w:r>
        <w:rPr>
          <w:rFonts w:ascii="Consolas" w:cs="Consolas" w:eastAsia="Consolas" w:hAnsi="Consolas"/>
        </w:rPr>
        <w:t xml:space="preserve">T112AT5X20</w:t>
      </w:r>
      <w:r>
        <w:t xml:space="preserve"> — y el kit </w:t>
      </w:r>
      <w:r>
        <w:rPr>
          <w:rFonts w:ascii="Consolas" w:cs="Consolas" w:eastAsia="Consolas" w:hAnsi="Consolas"/>
        </w:rPr>
        <w:t xml:space="preserve">4040565</w:t>
      </w:r>
      <w:r>
        <w:t xml:space="preserve"> ("Small parts &amp; gaskets for EDM 180 115V") incluye explícitamente "Fine-wire fuse 5x20mm, 2A, slow-blow (4 pcs)" en su descripción. Esto no resuelve la discrepancia documental, pero sí confirma que los fusibles son un repuesto real y stockeado — se añadieron al ítem </w:t>
      </w:r>
      <w:r>
        <w:rPr>
          <w:b/>
          <w:bCs/>
        </w:rPr>
        <w:t xml:space="preserve">8.3.1</w:t>
      </w:r>
      <w:r>
        <w:t xml:space="preserve"> (alimentación eléctrica). Sigue sin crearse un ítem de inspección dedicado a fusibles (sería un ítem 8.3.4 razonable en una v6, si el usuario lo pide).</w:t>
      </w:r>
    </w:p>
    <w:p>
      <w:pPr>
        <w:spacing w:after="160"/>
      </w:pPr>
      <w:r>
        <w:t xml:space="preserve">3. </w:t>
      </w:r>
      <w:r>
        <w:rPr>
          <w:b/>
          <w:bCs/>
        </w:rPr>
        <w:t xml:space="preserve">Corrección de una pieza previamente citada solo por correo.</w:t>
      </w:r>
      <w:r>
        <w:t xml:space="preserve"> El ítem 5.5.1 (reloj interno) traía el chip "PCF8583F" desde un correo de soporte; en Zoho el SKU activo es </w:t>
      </w:r>
      <w:r>
        <w:rPr>
          <w:b/>
          <w:bCs/>
        </w:rPr>
        <w:t xml:space="preserve">`PCF8583P`</w:t>
      </w:r>
      <w:r>
        <w:t xml:space="preserve">. Se dejaron ambos en la celda con la aclaración de que puede tratarse de la misma familia de chip en variante de encapsulado distinta — no se sobrescribió el dato original, se documentó el contraste.</w:t>
      </w:r>
    </w:p>
    <w:p>
      <w:pPr>
        <w:spacing w:after="160"/>
      </w:pPr>
      <w:r>
        <w:rPr>
          <w:b/>
          <w:bCs/>
        </w:rPr>
        <w:t xml:space="preserve">Además</w:t>
      </w:r>
      <w:r>
        <w:t xml:space="preserve">, el cruce reveló que Zoho tiene un artículo </w:t>
      </w:r>
      <w:r>
        <w:rPr>
          <w:b/>
          <w:bCs/>
        </w:rPr>
        <w:t xml:space="preserve">`H5GDV16210` "EDM180 LCD-Display"</w:t>
      </w:r>
      <w:r>
        <w:t xml:space="preserve"> sin ningún ítem de catálogo que lo cubra — el catálogo no tiene hoy ninguna verificación física de la pantalla del equipo. Se deja anotado como posible ítem faltante para una futura revisión (no se agregó de oficio, para no expandir el catálogo por una vía distinta a la que el usuario pidió esta vez).</w:t>
      </w:r>
    </w:p>
    <w:p>
      <w:pPr>
        <w:spacing w:after="160"/>
      </w:pPr>
      <w:r>
        <w:rPr>
          <w:b/>
          <w:bCs/>
        </w:rPr>
        <w:t xml:space="preserve">43 artículos de Zoho quedaron sin asociar a un ítem específico</w:t>
      </w:r>
      <w:r>
        <w:t xml:space="preserve">, la mayoría tornillería y conectores genéricos (arandelas, bujes Han, casquillos, bisagras, perillas), variantes de O-Ring sin identificación clara del punto de montaje, dos SKU administrativos (</w:t>
      </w:r>
      <w:r>
        <w:rPr>
          <w:rFonts w:ascii="Consolas" w:cs="Consolas" w:eastAsia="Consolas" w:hAnsi="Consolas"/>
        </w:rPr>
        <w:t xml:space="preserve">8021029</w:t>
      </w:r>
      <w:r>
        <w:t xml:space="preserve"> Working Hours, </w:t>
      </w:r>
      <w:r>
        <w:rPr>
          <w:rFonts w:ascii="Consolas" w:cs="Consolas" w:eastAsia="Consolas" w:hAnsi="Consolas"/>
        </w:rPr>
        <w:t xml:space="preserve">8021030</w:t>
      </w:r>
      <w:r>
        <w:t xml:space="preserve"> Flat rate for small parts, </w:t>
      </w:r>
      <w:r>
        <w:rPr>
          <w:rFonts w:ascii="Consolas" w:cs="Consolas" w:eastAsia="Consolas" w:hAnsi="Consolas"/>
        </w:rPr>
        <w:t xml:space="preserve">GR-SRCH-01</w:t>
      </w:r>
      <w:r>
        <w:t xml:space="preserve"> Surcharge, </w:t>
      </w:r>
      <w:r>
        <w:rPr>
          <w:rFonts w:ascii="Consolas" w:cs="Consolas" w:eastAsia="Consolas" w:hAnsi="Consolas"/>
        </w:rPr>
        <w:t xml:space="preserve">1205319</w:t>
      </w:r>
      <w:r>
        <w:t xml:space="preserve">/</w:t>
      </w:r>
      <w:r>
        <w:rPr>
          <w:rFonts w:ascii="Consolas" w:cs="Consolas" w:eastAsia="Consolas" w:hAnsi="Consolas"/>
        </w:rPr>
        <w:t xml:space="preserve">Y05180A</w:t>
      </w:r>
      <w:r>
        <w:t xml:space="preserve"> empaque), y un </w:t>
      </w:r>
      <w:r>
        <w:rPr>
          <w:rFonts w:ascii="Consolas" w:cs="Consolas" w:eastAsia="Consolas" w:hAnsi="Consolas"/>
        </w:rPr>
        <w:t xml:space="preserve">SO10174110</w:t>
      </w:r>
      <w:r>
        <w:t xml:space="preserve"> "Fuel Tank" que no parece corresponder a este equipo (posible artículo mal categorizado en Zoho — vale la pena que alguien de Ambientalia lo revise). Ninguno de estos se forzó a un ítem para no degradar la confiabilidad de la columna.</w:t>
      </w:r>
    </w:p>
    <w:p>
      <w:pPr>
        <w:pStyle w:val="Heading2"/>
        <w:spacing w:after="120" w:before="240"/>
      </w:pPr>
      <w:r>
        <w:t xml:space="preserve">0.2 Changelog v4 (2026-09-03)</w:t>
      </w:r>
    </w:p>
    <w:p>
      <w:pPr>
        <w:spacing w:after="160"/>
      </w:pPr>
      <w:r>
        <w:t xml:space="preserve">A pedido del usuario, se añadió la columna </w:t>
      </w:r>
      <w:r>
        <w:rPr>
          <w:b/>
          <w:bCs/>
        </w:rPr>
        <w:t xml:space="preserve">F «Cómo se verifica (método)»</w:t>
      </w:r>
      <w:r>
        <w:t xml:space="preserve"> en la hoja </w:t>
      </w:r>
      <w:r>
        <w:rPr>
          <w:rFonts w:ascii="Consolas" w:cs="Consolas" w:eastAsia="Consolas" w:hAnsi="Consolas"/>
        </w:rPr>
        <w:t xml:space="preserve">Inspección</w:t>
      </w:r>
      <w:r>
        <w:t xml:space="preserve">: para cada uno de los 103 ítems, describe en 1-2 frases el método con el que se realiza esa verificación (inspección visual, medición con instrumento — flujómetro, multímetro, tensiómetro —, lectura en el software Diagnosis GRIMM, prueba funcional, etc.).</w:t>
      </w:r>
    </w:p>
    <w:p>
      <w:pPr>
        <w:spacing w:after="160"/>
      </w:pPr>
      <w:r>
        <w:t xml:space="preserve">Es importante ser preciso sobre el origen de este texto: </w:t>
      </w:r>
      <w:r>
        <w:rPr>
          <w:b/>
          <w:bCs/>
        </w:rPr>
        <w:t xml:space="preserve">no es, en general, un procedimiento textual copiado de un manual GRIMM</w:t>
      </w:r>
      <w:r>
        <w:t xml:space="preserve"> — los informes MT y la mayoría de las fuentes documentan </w:t>
      </w:r>
      <w:r>
        <w:rPr>
          <w:i/>
          <w:iCs/>
        </w:rPr>
        <w:t xml:space="preserve">qué</w:t>
      </w:r>
      <w:r>
        <w:t xml:space="preserve"> se revisa y </w:t>
      </w:r>
      <w:r>
        <w:rPr>
          <w:i/>
          <w:iCs/>
        </w:rPr>
        <w:t xml:space="preserve">con qué criterio</w:t>
      </w:r>
      <w:r>
        <w:t xml:space="preserve">, pero rara vez describen paso a paso </w:t>
      </w:r>
      <w:r>
        <w:rPr>
          <w:i/>
          <w:iCs/>
        </w:rPr>
        <w:t xml:space="preserve">cómo</w:t>
      </w:r>
      <w:r>
        <w:t xml:space="preserve"> ejecutarlo. El texto de la columna F es una redacción de Ambientalia (con apoyo de Claude) que traduce cada criterio de aceptación en un método de verificación plausible y consistente con el resto del catálogo. Una minoría de ítems sí tiene un procedimiento explícito en las fuentes (p. ej. la prueba de estanqueidad con tensiómetro a 80 mmHg, la verificación con dolomita, la prueba de luz "First Aid", el ajuste digital de ganancias 0-J) y para esos el texto de F refleja ese procedimiento documentado. Para el resto, la columna queda marcada como propuesta a validar en campo (nota en la leyenda de la hoja) — no debe tratarse como procedimiento oficial GRIMM sin que el técnico la confirme.</w:t>
      </w:r>
    </w:p>
    <w:p>
      <w:pPr>
        <w:spacing w:after="160"/>
      </w:pPr>
      <w:r>
        <w:t xml:space="preserve">La inserción de la columna F recorrió una posición a la derecha todo lo que antes era F-S (ahora G-T); ninguna columna ni fórmula se perdió, solo se renombraron las referencias de rango (</w:t>
      </w:r>
      <w:r>
        <w:rPr>
          <w:rFonts w:ascii="Consolas" w:cs="Consolas" w:eastAsia="Consolas" w:hAnsi="Consolas"/>
        </w:rPr>
        <w:t xml:space="preserve">INDEX</w:t>
      </w:r>
      <w:r>
        <w:t xml:space="preserve">/</w:t>
      </w:r>
      <w:r>
        <w:rPr>
          <w:rFonts w:ascii="Consolas" w:cs="Consolas" w:eastAsia="Consolas" w:hAnsi="Consolas"/>
        </w:rPr>
        <w:t xml:space="preserve">MATCH</w:t>
      </w:r>
      <w:r>
        <w:t xml:space="preserve"> ya no aplica porque la v3 los eliminó; las fórmulas de verificación de rango y de </w:t>
      </w:r>
      <w:r>
        <w:rPr>
          <w:rFonts w:ascii="Consolas" w:cs="Consolas" w:eastAsia="Consolas" w:hAnsi="Consolas"/>
        </w:rPr>
        <w:t xml:space="preserve">Resumen</w:t>
      </w:r>
      <w:r>
        <w:t xml:space="preserve"> se reescribieron para las nuevas letras). El libro sigue en 175 fórmulas y recalcula sin errores.</w:t>
      </w:r>
    </w:p>
    <w:p>
      <w:pPr>
        <w:pStyle w:val="Heading2"/>
        <w:spacing w:after="120" w:before="240"/>
      </w:pPr>
      <w:r>
        <w:t xml:space="preserve">0.3 Changelog v3 (2026-09-03)</w:t>
      </w:r>
    </w:p>
    <w:p>
      <w:pPr>
        <w:spacing w:after="160"/>
      </w:pPr>
      <w:r>
        <w:t xml:space="preserve">Disparado por la pregunta directa del usuario: </w:t>
      </w:r>
      <w:r>
        <w:rPr>
          <w:i/>
          <w:iCs/>
        </w:rPr>
        <w:t xml:space="preserve">"¿en esta tabla se encontrarían todas las inspecciones que se le debe hacer al Grimm o falta alguna?"</w:t>
      </w:r>
      <w:r>
        <w:t xml:space="preserve"> Respuesta corta: </w:t>
      </w:r>
      <w:r>
        <w:rPr>
          <w:b/>
          <w:bCs/>
        </w:rPr>
        <w:t xml:space="preserve">sí faltaban ítems</w:t>
      </w:r>
      <w:r>
        <w:t xml:space="preserve">, y ya se cerraron los que se pudieron confirmar con fuentes del notebook.</w:t>
      </w:r>
    </w:p>
    <w:p>
      <w:pPr>
        <w:spacing w:after="160"/>
      </w:pPr>
      <w:r>
        <w:rPr>
          <w:b/>
          <w:bCs/>
        </w:rPr>
        <w:t xml:space="preserve">A. Ítems nuevos (15), hallados en "Service Training NEW [Version 0.8] (BETA)"</w:t>
      </w:r>
      <w:r>
        <w:t xml:space="preserve"> — el documento más extenso revisado hasta ahora (98.000 caracteres) y el único con diagrama interno detallado del equipo. El catálogo pasó de </w:t>
      </w:r>
      <w:r>
        <w:rPr>
          <w:b/>
          <w:bCs/>
        </w:rPr>
        <w:t xml:space="preserve">88 a 103 ítems</w:t>
      </w:r>
      <w:r>
        <w:t xml:space="preserve">; los subniveles (27) y niveles macro (8) no cambiaron, porque los 15 ítems nuevos entraron en subniveles ya existentes.</w:t>
      </w:r>
    </w:p>
    <w:p>
      <w:pPr>
        <w:spacing w:after="160"/>
      </w:pPr>
      <w:r>
        <w:t xml:space="preserve">El hallazgo más relevante: </w:t>
      </w:r>
      <w:r>
        <w:rPr>
          <w:b/>
          <w:bCs/>
        </w:rPr>
        <w:t xml:space="preserve">el equipo tiene una Bomba de muestra (Sample Pump) física, distinta de la bomba de vacío/secado.</w:t>
      </w:r>
      <w:r>
        <w:t xml:space="preserve"> Hasta la v2 el catálogo solo registraba la bomba de secado (ítems 3.1.1-3.1.4); la bomba de muestra nunca había aparecido como componente propio — se añadió como ítem </w:t>
      </w:r>
      <w:r>
        <w:rPr>
          <w:b/>
          <w:bCs/>
        </w:rPr>
        <w:t xml:space="preserve">3.1.5</w:t>
      </w:r>
      <w:r>
        <w:t xml:space="preserve">, y el subnivel "3.1 Bomba de vacío / secado" se renombró a "3.1 Bombas (vacío/secado y muestra)" para reflejar que ahora cubre dos bombas distintas.</w:t>
      </w:r>
    </w:p>
    <w:p>
      <w:pPr>
        <w:spacing w:after="160"/>
      </w:pPr>
      <w:r>
        <w:t xml:space="preserve">Los otros 14 ítems nuevos:</w:t>
      </w:r>
    </w:p>
    <w:p>
      <w:pPr>
        <w:pStyle w:val="ListParagraph"/>
        <w:numPr>
          <w:ilvl w:val="0"/>
          <w:numId w:val="1"/>
        </w:numPr>
        <w:spacing w:after="80"/>
      </w:pPr>
      <w:r>
        <w:rPr>
          <w:b/>
          <w:bCs/>
        </w:rPr>
        <w:t xml:space="preserve">1.2.4</w:t>
      </w:r>
      <w:r>
        <w:t xml:space="preserve"> Etiquetas físicas (Type Label / etiqueta de calibración vigente).</w:t>
      </w:r>
    </w:p>
    <w:p>
      <w:pPr>
        <w:pStyle w:val="ListParagraph"/>
        <w:numPr>
          <w:ilvl w:val="0"/>
          <w:numId w:val="1"/>
        </w:numPr>
        <w:spacing w:after="80"/>
      </w:pPr>
      <w:r>
        <w:rPr>
          <w:b/>
          <w:bCs/>
        </w:rPr>
        <w:t xml:space="preserve">2.1.5</w:t>
      </w:r>
      <w:r>
        <w:t xml:space="preserve"> Calefactor opcional del cabezal (head heater) — aplica solo si el equipo trae la opción.</w:t>
      </w:r>
    </w:p>
    <w:p>
      <w:pPr>
        <w:pStyle w:val="ListParagraph"/>
        <w:numPr>
          <w:ilvl w:val="0"/>
          <w:numId w:val="1"/>
        </w:numPr>
        <w:spacing w:after="80"/>
      </w:pPr>
      <w:r>
        <w:rPr>
          <w:b/>
          <w:bCs/>
        </w:rPr>
        <w:t xml:space="preserve">2.2.6</w:t>
      </w:r>
      <w:r>
        <w:t xml:space="preserve"> Soporte del tubo de muestra (Sample Pipe Holder) y su tornillo de fijación.</w:t>
      </w:r>
    </w:p>
    <w:p>
      <w:pPr>
        <w:pStyle w:val="ListParagraph"/>
        <w:numPr>
          <w:ilvl w:val="0"/>
          <w:numId w:val="1"/>
        </w:numPr>
        <w:spacing w:after="80"/>
      </w:pPr>
      <w:r>
        <w:rPr>
          <w:b/>
          <w:bCs/>
        </w:rPr>
        <w:t xml:space="preserve">2.3.4</w:t>
      </w:r>
      <w:r>
        <w:t xml:space="preserve"> Paso de techo (roof lead through) por donde ingresa el tubo a la caseta.</w:t>
      </w:r>
    </w:p>
    <w:p>
      <w:pPr>
        <w:pStyle w:val="ListParagraph"/>
        <w:numPr>
          <w:ilvl w:val="0"/>
          <w:numId w:val="1"/>
        </w:numPr>
        <w:spacing w:after="80"/>
      </w:pPr>
      <w:r>
        <w:rPr>
          <w:b/>
          <w:bCs/>
        </w:rPr>
        <w:t xml:space="preserve">2.4.5</w:t>
      </w:r>
      <w:r>
        <w:t xml:space="preserve"> Trampa de agua y racor de salida (water trap / condensate outlet), como componente físico distinto del secador Nafion.</w:t>
      </w:r>
    </w:p>
    <w:p>
      <w:pPr>
        <w:pStyle w:val="ListParagraph"/>
        <w:numPr>
          <w:ilvl w:val="0"/>
          <w:numId w:val="1"/>
        </w:numPr>
        <w:spacing w:after="80"/>
      </w:pPr>
      <w:r>
        <w:rPr>
          <w:b/>
          <w:bCs/>
        </w:rPr>
        <w:t xml:space="preserve">3.1.6</w:t>
      </w:r>
      <w:r>
        <w:t xml:space="preserve"> Depósito de compensación (Compensating Reservoir) del circuito neumático.</w:t>
      </w:r>
    </w:p>
    <w:p>
      <w:pPr>
        <w:pStyle w:val="ListParagraph"/>
        <w:numPr>
          <w:ilvl w:val="0"/>
          <w:numId w:val="1"/>
        </w:numPr>
        <w:spacing w:after="80"/>
      </w:pPr>
      <w:r>
        <w:rPr>
          <w:b/>
          <w:bCs/>
        </w:rPr>
        <w:t xml:space="preserve">3.2.3</w:t>
      </w:r>
      <w:r>
        <w:t xml:space="preserve"> Presostatos (pressure switches) del circuito neumático.</w:t>
      </w:r>
    </w:p>
    <w:p>
      <w:pPr>
        <w:pStyle w:val="ListParagraph"/>
        <w:numPr>
          <w:ilvl w:val="0"/>
          <w:numId w:val="1"/>
        </w:numPr>
        <w:spacing w:after="80"/>
      </w:pPr>
      <w:r>
        <w:rPr>
          <w:b/>
          <w:bCs/>
        </w:rPr>
        <w:t xml:space="preserve">3.4.5</w:t>
      </w:r>
      <w:r>
        <w:t xml:space="preserve"> Válvula de autodiagnóstico (Valve Selftest), distinta de la válvula proporcional (P-Valve).</w:t>
      </w:r>
    </w:p>
    <w:p>
      <w:pPr>
        <w:pStyle w:val="ListParagraph"/>
        <w:numPr>
          <w:ilvl w:val="0"/>
          <w:numId w:val="1"/>
        </w:numPr>
        <w:spacing w:after="80"/>
      </w:pPr>
      <w:r>
        <w:rPr>
          <w:b/>
          <w:bCs/>
        </w:rPr>
        <w:t xml:space="preserve">3.4.6</w:t>
      </w:r>
      <w:r>
        <w:t xml:space="preserve"> Filtro de aire de purga (Rinsing Air Filter), asociado al controlador RAC (3.4.3).</w:t>
      </w:r>
    </w:p>
    <w:p>
      <w:pPr>
        <w:pStyle w:val="ListParagraph"/>
        <w:numPr>
          <w:ilvl w:val="0"/>
          <w:numId w:val="1"/>
        </w:numPr>
        <w:spacing w:after="80"/>
      </w:pPr>
      <w:r>
        <w:rPr>
          <w:b/>
          <w:bCs/>
        </w:rPr>
        <w:t xml:space="preserve">5.1.4</w:t>
      </w:r>
      <w:r>
        <w:t xml:space="preserve"> Tarjeta driver del láser (Laser Driver Board).</w:t>
      </w:r>
    </w:p>
    <w:p>
      <w:pPr>
        <w:pStyle w:val="ListParagraph"/>
        <w:numPr>
          <w:ilvl w:val="0"/>
          <w:numId w:val="1"/>
        </w:numPr>
        <w:spacing w:after="80"/>
      </w:pPr>
      <w:r>
        <w:rPr>
          <w:b/>
          <w:bCs/>
        </w:rPr>
        <w:t xml:space="preserve">5.1.5</w:t>
      </w:r>
      <w:r>
        <w:t xml:space="preserve"> Tarjeta del circuito LED.</w:t>
      </w:r>
    </w:p>
    <w:p>
      <w:pPr>
        <w:pStyle w:val="ListParagraph"/>
        <w:numPr>
          <w:ilvl w:val="0"/>
          <w:numId w:val="1"/>
        </w:numPr>
        <w:spacing w:after="80"/>
      </w:pPr>
      <w:r>
        <w:rPr>
          <w:b/>
          <w:bCs/>
        </w:rPr>
        <w:t xml:space="preserve">6.1.4 / 6.1.5</w:t>
      </w:r>
      <w:r>
        <w:t xml:space="preserve"> Filtros CQ de autodiagnóstico y de vacío (CQ-Filter Selftest / Vacuum).</w:t>
      </w:r>
    </w:p>
    <w:p>
      <w:pPr>
        <w:pStyle w:val="ListParagraph"/>
        <w:numPr>
          <w:ilvl w:val="0"/>
          <w:numId w:val="1"/>
        </w:numPr>
        <w:spacing w:after="80"/>
      </w:pPr>
      <w:r>
        <w:rPr>
          <w:b/>
          <w:bCs/>
        </w:rPr>
        <w:t xml:space="preserve">6.1.6</w:t>
      </w:r>
      <w:r>
        <w:t xml:space="preserve"> Procedimiento de reinicio del contador de filtro al alcanzar el umbral de 60.000 µg/360 días.</w:t>
      </w:r>
    </w:p>
    <w:p>
      <w:pPr>
        <w:pStyle w:val="ListParagraph"/>
        <w:numPr>
          <w:ilvl w:val="0"/>
          <w:numId w:val="1"/>
        </w:numPr>
        <w:spacing w:after="80"/>
      </w:pPr>
      <w:r>
        <w:rPr>
          <w:b/>
          <w:bCs/>
        </w:rPr>
        <w:t xml:space="preserve">8.3.3</w:t>
      </w:r>
      <w:r>
        <w:t xml:space="preserve"> Puertos RS-232 (dos).</w:t>
      </w:r>
    </w:p>
    <w:p>
      <w:pPr>
        <w:spacing w:after="80"/>
      </w:pPr>
    </w:p>
    <w:p>
      <w:pPr>
        <w:spacing w:after="160"/>
      </w:pPr>
      <w:r>
        <w:rPr>
          <w:b/>
          <w:bCs/>
        </w:rPr>
        <w:t xml:space="preserve">B. Consolidación de hojas (a pedido del usuario).</w:t>
      </w:r>
      <w:r>
        <w:t xml:space="preserve"> El libro tenía </w:t>
      </w:r>
      <w:r>
        <w:rPr>
          <w:rFonts w:ascii="Consolas" w:cs="Consolas" w:eastAsia="Consolas" w:hAnsi="Consolas"/>
        </w:rPr>
        <w:t xml:space="preserve">Catálogo</w:t>
      </w:r>
      <w:r>
        <w:t xml:space="preserve"> (maestro) e </w:t>
      </w:r>
      <w:r>
        <w:rPr>
          <w:rFonts w:ascii="Consolas" w:cs="Consolas" w:eastAsia="Consolas" w:hAnsi="Consolas"/>
        </w:rPr>
        <w:t xml:space="preserve">Inspección</w:t>
      </w:r>
      <w:r>
        <w:t xml:space="preserve"> (captura) como hojas separadas, enlazadas por fórmulas </w:t>
      </w:r>
      <w:r>
        <w:rPr>
          <w:rFonts w:ascii="Consolas" w:cs="Consolas" w:eastAsia="Consolas" w:hAnsi="Consolas"/>
        </w:rPr>
        <w:t xml:space="preserve">INDEX</w:t>
      </w:r>
      <w:r>
        <w:t xml:space="preserve">/</w:t>
      </w:r>
      <w:r>
        <w:rPr>
          <w:rFonts w:ascii="Consolas" w:cs="Consolas" w:eastAsia="Consolas" w:hAnsi="Consolas"/>
        </w:rPr>
        <w:t xml:space="preserve">MATCH</w:t>
      </w:r>
      <w:r>
        <w:t xml:space="preserve">. Se fusionaron en </w:t>
      </w:r>
      <w:r>
        <w:rPr>
          <w:b/>
          <w:bCs/>
        </w:rPr>
        <w:t xml:space="preserve">una sola hoja/tabla</w:t>
      </w:r>
      <w:r>
        <w:t xml:space="preserve"> ("Inspección"), sin perder ninguna columna de ninguna de las dos: las columnas A-N son la definición del ítem (antes solo en </w:t>
      </w:r>
      <w:r>
        <w:rPr>
          <w:rFonts w:ascii="Consolas" w:cs="Consolas" w:eastAsia="Consolas" w:hAnsi="Consolas"/>
        </w:rPr>
        <w:t xml:space="preserve">Catálogo</w:t>
      </w:r>
      <w:r>
        <w:t xml:space="preserve">) y las columnas O-S son la captura de la visita (antes solo en </w:t>
      </w:r>
      <w:r>
        <w:rPr>
          <w:rFonts w:ascii="Consolas" w:cs="Consolas" w:eastAsia="Consolas" w:hAnsi="Consolas"/>
        </w:rPr>
        <w:t xml:space="preserve">Inspección</w:t>
      </w:r>
      <w:r>
        <w:t xml:space="preserve">). Esa misma hoja es ahora la única fuente de verdad — editar una fila edita el catálogo y, si ya se diligenció, también el resultado de esa visita. Para repetir la inspección en una visita futura sin perder el histórico, la hoja se debe duplicar antes de diligenciar. El libro quedó en 4 hojas (</w:t>
      </w:r>
      <w:r>
        <w:rPr>
          <w:rFonts w:ascii="Consolas" w:cs="Consolas" w:eastAsia="Consolas" w:hAnsi="Consolas"/>
        </w:rPr>
        <w:t xml:space="preserve">Instrucciones</w:t>
      </w:r>
      <w:r>
        <w:t xml:space="preserve">, </w:t>
      </w:r>
      <w:r>
        <w:rPr>
          <w:rFonts w:ascii="Consolas" w:cs="Consolas" w:eastAsia="Consolas" w:hAnsi="Consolas"/>
        </w:rPr>
        <w:t xml:space="preserve">Listas</w:t>
      </w:r>
      <w:r>
        <w:t xml:space="preserve">, </w:t>
      </w:r>
      <w:r>
        <w:rPr>
          <w:rFonts w:ascii="Consolas" w:cs="Consolas" w:eastAsia="Consolas" w:hAnsi="Consolas"/>
        </w:rPr>
        <w:t xml:space="preserve">Inspección</w:t>
      </w:r>
      <w:r>
        <w:t xml:space="preserve">, </w:t>
      </w:r>
      <w:r>
        <w:rPr>
          <w:rFonts w:ascii="Consolas" w:cs="Consolas" w:eastAsia="Consolas" w:hAnsi="Consolas"/>
        </w:rPr>
        <w:t xml:space="preserve">Resumen</w:t>
      </w:r>
      <w:r>
        <w:t xml:space="preserve">) — antes 5 — y en 175 fórmulas (antes 1029: al eliminarse el enlace </w:t>
      </w:r>
      <w:r>
        <w:rPr>
          <w:rFonts w:ascii="Consolas" w:cs="Consolas" w:eastAsia="Consolas" w:hAnsi="Consolas"/>
        </w:rPr>
        <w:t xml:space="preserve">Catálogo</w:t>
      </w:r>
      <w:r>
        <w:t xml:space="preserve">↔</w:t>
      </w:r>
      <w:r>
        <w:rPr>
          <w:rFonts w:ascii="Consolas" w:cs="Consolas" w:eastAsia="Consolas" w:hAnsi="Consolas"/>
        </w:rPr>
        <w:t xml:space="preserve">Inspección</w:t>
      </w:r>
      <w:r>
        <w:t xml:space="preserve"> desaparecieron ~850 fórmulas </w:t>
      </w:r>
      <w:r>
        <w:rPr>
          <w:rFonts w:ascii="Consolas" w:cs="Consolas" w:eastAsia="Consolas" w:hAnsi="Consolas"/>
        </w:rPr>
        <w:t xml:space="preserve">INDEX</w:t>
      </w:r>
      <w:r>
        <w:t xml:space="preserve">/</w:t>
      </w:r>
      <w:r>
        <w:rPr>
          <w:rFonts w:ascii="Consolas" w:cs="Consolas" w:eastAsia="Consolas" w:hAnsi="Consolas"/>
        </w:rPr>
        <w:t xml:space="preserve">MATCH</w:t>
      </w:r>
      <w:r>
        <w:t xml:space="preserve"> que ya no hacían falta). Recalcula sin errores.</w:t>
      </w:r>
    </w:p>
    <w:p>
      <w:pPr>
        <w:spacing w:after="160"/>
      </w:pPr>
      <w:r>
        <w:rPr>
          <w:b/>
          <w:bCs/>
        </w:rPr>
        <w:t xml:space="preserve">C. Lo que sigue sin poder cerrarse</w:t>
      </w:r>
      <w:r>
        <w:t xml:space="preserve">, incluso tras esta segunda pasada por las fuentes:</w:t>
      </w:r>
    </w:p>
    <w:p>
      <w:pPr>
        <w:pStyle w:val="ListParagraph"/>
        <w:numPr>
          <w:ilvl w:val="0"/>
          <w:numId w:val="1"/>
        </w:numPr>
        <w:spacing w:after="80"/>
      </w:pPr>
      <w:r>
        <w:rPr>
          <w:b/>
          <w:bCs/>
        </w:rPr>
        <w:t xml:space="preserve">Fusibles</w:t>
      </w:r>
      <w:r>
        <w:t xml:space="preserve">: el manual SER-MAN los menciona ("pico 2A / 300A-32VDC") como componente físico; "Service Training NEW" no los menciona en absoluto pese a describirse como más completo. No se agregó un ítem de fusibles porque la fuente más reciente y detallada no los confirma — queda como discrepancia entre fuentes, no como hallazgo cerrado.</w:t>
      </w:r>
    </w:p>
    <w:p>
      <w:pPr>
        <w:pStyle w:val="ListParagraph"/>
        <w:numPr>
          <w:ilvl w:val="0"/>
          <w:numId w:val="1"/>
        </w:numPr>
        <w:spacing w:after="80"/>
      </w:pPr>
      <w:r>
        <w:rPr>
          <w:b/>
          <w:bCs/>
        </w:rPr>
        <w:t xml:space="preserve">Ganancia de canales F y G (−2 %/+5 %)</w:t>
      </w:r>
      <w:r>
        <w:t xml:space="preserve">: sigue sin respaldo en ningún manual o Service Training tras dos pasadas completas. Puede ser un criterio interno de Ambientalia, no uno publicado por GRIMM.</w:t>
      </w:r>
    </w:p>
    <w:p>
      <w:pPr>
        <w:pStyle w:val="ListParagraph"/>
        <w:numPr>
          <w:ilvl w:val="0"/>
          <w:numId w:val="1"/>
        </w:numPr>
        <w:spacing w:after="80"/>
      </w:pPr>
      <w:r>
        <w:rPr>
          <w:b/>
          <w:bCs/>
        </w:rPr>
        <w:t xml:space="preserve">Corriente del láser en mA (La_h)</w:t>
      </w:r>
      <w:r>
        <w:t xml:space="preserve"> y </w:t>
      </w:r>
      <w:r>
        <w:rPr>
          <w:b/>
          <w:bCs/>
        </w:rPr>
        <w:t xml:space="preserve">tensión mínima de la batería CR2025</w:t>
      </w:r>
      <w:r>
        <w:t xml:space="preserve">: ningún documento revisado hasta ahora da esos valores.</w:t>
      </w:r>
    </w:p>
    <w:p>
      <w:pPr>
        <w:pStyle w:val="ListParagraph"/>
        <w:numPr>
          <w:ilvl w:val="0"/>
          <w:numId w:val="1"/>
        </w:numPr>
        <w:spacing w:after="80"/>
      </w:pPr>
      <w:r>
        <w:rPr>
          <w:b/>
          <w:bCs/>
        </w:rPr>
        <w:t xml:space="preserve">Voltaje de la válvula proporcional (P-Valve)</w:t>
      </w:r>
      <w:r>
        <w:t xml:space="preserve">: sigue con dos valores no reconciliados entre fuentes (3,7±0,4 V vs. 6-7 V); "Service Training NEW" repite el primer valor pero no aborda el segundo.</w:t>
      </w:r>
    </w:p>
    <w:p>
      <w:pPr>
        <w:pStyle w:val="ListParagraph"/>
        <w:numPr>
          <w:ilvl w:val="0"/>
          <w:numId w:val="1"/>
        </w:numPr>
        <w:spacing w:after="80"/>
      </w:pPr>
      <w:r>
        <w:t xml:space="preserve">Dos PDF de fotos de tarjetas (</w:t>
      </w:r>
      <w:r>
        <w:rPr>
          <w:rFonts w:ascii="Consolas" w:cs="Consolas" w:eastAsia="Consolas" w:hAnsi="Consolas"/>
        </w:rPr>
        <w:t xml:space="preserve">DIGITA3B_board_oben.pdf</w:t>
      </w:r>
      <w:r>
        <w:t xml:space="preserve">, </w:t>
      </w:r>
      <w:r>
        <w:rPr>
          <w:rFonts w:ascii="Consolas" w:cs="Consolas" w:eastAsia="Consolas" w:hAnsi="Consolas"/>
        </w:rPr>
        <w:t xml:space="preserve">dm180C_board_oben.pdf</w:t>
      </w:r>
      <w:r>
        <w:t xml:space="preserve">) y un correo sobre conexión M5 se revisaron en esta pasada y no aportaron contenido utilizable (son fotos con etiquetas de referencia de componentes, no procedimientos ni criterios).</w:t>
      </w:r>
    </w:p>
    <w:p>
      <w:pPr>
        <w:spacing w:after="80"/>
      </w:pPr>
    </w:p>
    <w:p>
      <w:pPr>
        <w:spacing w:after="160"/>
      </w:pPr>
      <w:r>
        <w:t xml:space="preserve">Con esto, la revisión de las fuentes disponibles en el notebook queda razonablemente agotada para esta ronda; lo que resta pendiente son vacíos documentales reales (GRIMM no publicó el dato), no fuentes sin revisar.</w:t>
      </w:r>
    </w:p>
    <w:p>
      <w:pPr>
        <w:pStyle w:val="Heading2"/>
        <w:spacing w:after="120" w:before="240"/>
      </w:pPr>
      <w:r>
        <w:t xml:space="preserve">0.4 Changelog v2 (histórico)</w:t>
      </w:r>
    </w:p>
    <w:p>
      <w:pPr>
        <w:spacing w:after="160"/>
      </w:pPr>
      <w:r>
        <w:t xml:space="preserve">El notebook pasó de 223 a 242 fuentes. Los </w:t>
      </w:r>
      <w:r>
        <w:rPr>
          <w:b/>
          <w:bCs/>
        </w:rPr>
        <w:t xml:space="preserve">199 informes MT de campo no cambiaron</w:t>
      </w:r>
      <w:r>
        <w:t xml:space="preserve"> (mismos seriales y fechas que en v1); lo nuevo fueron </w:t>
      </w:r>
      <w:r>
        <w:rPr>
          <w:b/>
          <w:bCs/>
        </w:rPr>
        <w:t xml:space="preserve">19 documentos de referencia técnica</w:t>
      </w:r>
      <w:r>
        <w:t xml:space="preserve">: el manual de servicio oficial GRIMM (</w:t>
      </w:r>
      <w:r>
        <w:rPr>
          <w:rFonts w:ascii="Consolas" w:cs="Consolas" w:eastAsia="Consolas" w:hAnsi="Consolas"/>
        </w:rPr>
        <w:t xml:space="preserve">SER-MAN DUST MONITOR 180</w:t>
      </w:r>
      <w:r>
        <w:t xml:space="preserve">), dos documentos de Service Training, notas técnicas GRIMM (KB0060/KB0067), un procedimiento de reemplazo de la bomba de vacío, esquemas electrónicos, y ~8 correos de soporte GRIMM/DURAG sobre fallas puntuales (error de flujo, fallo láser, problema de reloj interno, desviación de calibración, sensor de presión).</w:t>
      </w:r>
    </w:p>
    <w:p>
      <w:pPr>
        <w:spacing w:after="160"/>
      </w:pPr>
      <w:r>
        <w:t xml:space="preserve">Esto permitió cerrar la mayoría de los límites numéricos que en v1 estaban marcados </w:t>
      </w:r>
      <w:r>
        <w:rPr>
          <w:rFonts w:ascii="Consolas" w:cs="Consolas" w:eastAsia="Consolas" w:hAnsi="Consolas"/>
        </w:rPr>
        <w:t xml:space="preserve">PENDIENTE DE VALIDAR</w:t>
      </w:r>
      <w:r>
        <w:t xml:space="preserve">, y sacó a la luz 19 ítems físicos que no estaban en v1. El catálogo pasó de 69 a 88 ítems y de 24 a 27 subniveles; los 8 niveles macro no cambiaron. Deliberadamente no se añadieron ítems de configuración de software/red (licencia </w:t>
      </w:r>
      <w:r>
        <w:rPr>
          <w:rFonts w:ascii="Consolas" w:cs="Consolas" w:eastAsia="Consolas" w:hAnsi="Consolas"/>
        </w:rPr>
        <w:t xml:space="preserve">.LIC</w:t>
      </w:r>
      <w:r>
        <w:t xml:space="preserve"> de calibración, configuración GPRS del logger): son administración, no inspección física del equipo.</w:t>
      </w:r>
    </w:p>
    <w:p>
      <w:pPr>
        <w:pStyle w:val="Heading2"/>
        <w:spacing w:after="120" w:before="240"/>
      </w:pPr>
      <w:r>
        <w:t xml:space="preserve">1. Hallazgo de partida (v1, se mantiene)</w:t>
      </w:r>
    </w:p>
    <w:p>
      <w:pPr>
        <w:spacing w:after="160"/>
      </w:pPr>
      <w:r>
        <w:t xml:space="preserve">Los informes MT </w:t>
      </w:r>
      <w:r>
        <w:rPr>
          <w:b/>
          <w:bCs/>
        </w:rPr>
        <w:t xml:space="preserve">son narrativos, no listas de chequeo</w:t>
      </w:r>
      <w:r>
        <w:t xml:space="preserve">. Cada informe sigue el mismo esqueleto documental — </w:t>
      </w:r>
      <w:r>
        <w:rPr>
          <w:i/>
          <w:iCs/>
        </w:rPr>
        <w:t xml:space="preserve">Estado inicial del equipo → Diagnóstico → Conclusión de Diagnóstico → Mano de obra, consumibles y repuestos</w:t>
      </w:r>
      <w:r>
        <w:t xml:space="preserve"> — pero el contenido de la inspección se redacta en prosa libre. No existe hoy una jerarquía formalizada de niveles macro / subniveles / ítems, lo que produce cobertura variable entre técnicos, criterios implícitos, y falta de trazabilidad ítem→repuesto.</w:t>
      </w:r>
    </w:p>
    <w:p>
      <w:pPr>
        <w:pStyle w:val="Heading2"/>
        <w:spacing w:after="120" w:before="240"/>
      </w:pPr>
      <w:r>
        <w:t xml:space="preserve">2. Jerarquía actual (8 · 27 · 103)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1F3864" w:val="clear"/>
            <w:tcMar>
              <w:top w:type="dxa" w:w="80"/>
              <w:left w:type="dxa" w:w="100"/>
              <w:bottom w:type="dxa" w:w="80"/>
              <w:right w:type="dxa" w:w="100"/>
            </w:tcMar>
          </w:tcPr>
          <w:p>
            <w:r>
              <w:rPr>
                <w:b/>
                <w:bCs/>
                <w:color w:val="FFFFFF"/>
                <w:sz w:val="18"/>
                <w:szCs w:val="18"/>
              </w:rPr>
              <w:t xml:space="preserve">N1 — Nivel macro</w:t>
            </w:r>
          </w:p>
        </w:tc>
        <w:tc>
          <w:tcPr>
            <w:tcW w:type="dxa" w:w="3008"/>
            <w:shd w:fill="1F3864" w:val="clear"/>
            <w:tcMar>
              <w:top w:type="dxa" w:w="80"/>
              <w:left w:type="dxa" w:w="100"/>
              <w:bottom w:type="dxa" w:w="80"/>
              <w:right w:type="dxa" w:w="100"/>
            </w:tcMar>
          </w:tcPr>
          <w:p>
            <w:r>
              <w:rPr>
                <w:b/>
                <w:bCs/>
                <w:color w:val="FFFFFF"/>
                <w:sz w:val="18"/>
                <w:szCs w:val="18"/>
              </w:rPr>
              <w:t xml:space="preserve">Subniveles (N2)</w:t>
            </w:r>
          </w:p>
        </w:tc>
        <w:tc>
          <w:tcPr>
            <w:tcW w:type="dxa" w:w="3008"/>
            <w:shd w:fill="1F3864" w:val="clear"/>
            <w:tcMar>
              <w:top w:type="dxa" w:w="80"/>
              <w:left w:type="dxa" w:w="100"/>
              <w:bottom w:type="dxa" w:w="80"/>
              <w:right w:type="dxa" w:w="100"/>
            </w:tcMar>
          </w:tcPr>
          <w:p>
            <w:r>
              <w:rPr>
                <w:b/>
                <w:bCs/>
                <w:color w:val="FFFFFF"/>
                <w:sz w:val="18"/>
                <w:szCs w:val="18"/>
              </w:rPr>
              <w:t xml:space="preserve">Ítems (N3)</w:t>
            </w:r>
          </w:p>
        </w:tc>
      </w:tr>
      <w:tr>
        <w:tc>
          <w:tcPr>
            <w:tcW w:type="dxa" w:w="3008"/>
            <w:tcMar>
              <w:top w:type="dxa" w:w="60"/>
              <w:left w:type="dxa" w:w="100"/>
              <w:bottom w:type="dxa" w:w="60"/>
              <w:right w:type="dxa" w:w="100"/>
            </w:tcMar>
          </w:tcPr>
          <w:p>
            <w:r>
              <w:rPr>
                <w:sz w:val="18"/>
                <w:szCs w:val="18"/>
              </w:rPr>
              <w:t xml:space="preserve">1. Verificación funcional inicial</w:t>
            </w:r>
          </w:p>
        </w:tc>
        <w:tc>
          <w:tcPr>
            <w:tcW w:type="dxa" w:w="3008"/>
            <w:tcMar>
              <w:top w:type="dxa" w:w="60"/>
              <w:left w:type="dxa" w:w="100"/>
              <w:bottom w:type="dxa" w:w="60"/>
              <w:right w:type="dxa" w:w="100"/>
            </w:tcMar>
          </w:tcPr>
          <w:p>
            <w:r>
              <w:rPr>
                <w:sz w:val="18"/>
                <w:szCs w:val="18"/>
              </w:rPr>
              <w:t xml:space="preserve">Encendido y autodiagnóstico · Identificación y trazabilidad · Estado de calibración</w:t>
            </w:r>
          </w:p>
        </w:tc>
        <w:tc>
          <w:tcPr>
            <w:tcW w:type="dxa" w:w="3008"/>
            <w:tcMar>
              <w:top w:type="dxa" w:w="60"/>
              <w:left w:type="dxa" w:w="100"/>
              <w:bottom w:type="dxa" w:w="60"/>
              <w:right w:type="dxa" w:w="100"/>
            </w:tcMar>
          </w:tcPr>
          <w:p>
            <w:r>
              <w:rPr>
                <w:sz w:val="18"/>
                <w:szCs w:val="18"/>
              </w:rPr>
              <w:t xml:space="preserve">10</w:t>
            </w:r>
          </w:p>
        </w:tc>
      </w:tr>
      <w:tr>
        <w:tc>
          <w:tcPr>
            <w:tcW w:type="dxa" w:w="3008"/>
            <w:tcMar>
              <w:top w:type="dxa" w:w="60"/>
              <w:left w:type="dxa" w:w="100"/>
              <w:bottom w:type="dxa" w:w="60"/>
              <w:right w:type="dxa" w:w="100"/>
            </w:tcMar>
          </w:tcPr>
          <w:p>
            <w:r>
              <w:rPr>
                <w:sz w:val="18"/>
                <w:szCs w:val="18"/>
              </w:rPr>
              <w:t xml:space="preserve">2. Línea de muestreo y cabezal</w:t>
            </w:r>
          </w:p>
        </w:tc>
        <w:tc>
          <w:tcPr>
            <w:tcW w:type="dxa" w:w="3008"/>
            <w:tcMar>
              <w:top w:type="dxa" w:w="60"/>
              <w:left w:type="dxa" w:w="100"/>
              <w:bottom w:type="dxa" w:w="60"/>
              <w:right w:type="dxa" w:w="100"/>
            </w:tcMar>
          </w:tcPr>
          <w:p>
            <w:r>
              <w:rPr>
                <w:sz w:val="18"/>
                <w:szCs w:val="18"/>
              </w:rPr>
              <w:t xml:space="preserve">Cabezal TSP · Tubo de muestra 1.5 m · Protección contra intemperie · Secador Nafion y drenaje</w:t>
            </w:r>
          </w:p>
        </w:tc>
        <w:tc>
          <w:tcPr>
            <w:tcW w:type="dxa" w:w="3008"/>
            <w:tcMar>
              <w:top w:type="dxa" w:w="60"/>
              <w:left w:type="dxa" w:w="100"/>
              <w:bottom w:type="dxa" w:w="60"/>
              <w:right w:type="dxa" w:w="100"/>
            </w:tcMar>
          </w:tcPr>
          <w:p>
            <w:r>
              <w:rPr>
                <w:sz w:val="18"/>
                <w:szCs w:val="18"/>
              </w:rPr>
              <w:t xml:space="preserve">20</w:t>
            </w:r>
          </w:p>
        </w:tc>
      </w:tr>
      <w:tr>
        <w:tc>
          <w:tcPr>
            <w:tcW w:type="dxa" w:w="3008"/>
            <w:tcMar>
              <w:top w:type="dxa" w:w="60"/>
              <w:left w:type="dxa" w:w="100"/>
              <w:bottom w:type="dxa" w:w="60"/>
              <w:right w:type="dxa" w:w="100"/>
            </w:tcMar>
          </w:tcPr>
          <w:p>
            <w:r>
              <w:rPr>
                <w:sz w:val="18"/>
                <w:szCs w:val="18"/>
              </w:rPr>
              <w:t xml:space="preserve">3. Sistema neumático y etapa de secado</w:t>
            </w:r>
          </w:p>
        </w:tc>
        <w:tc>
          <w:tcPr>
            <w:tcW w:type="dxa" w:w="3008"/>
            <w:tcMar>
              <w:top w:type="dxa" w:w="60"/>
              <w:left w:type="dxa" w:w="100"/>
              <w:bottom w:type="dxa" w:w="60"/>
              <w:right w:type="dxa" w:w="100"/>
            </w:tcMar>
          </w:tcPr>
          <w:p>
            <w:r>
              <w:rPr>
                <w:b/>
                <w:bCs/>
                <w:sz w:val="18"/>
                <w:szCs w:val="18"/>
              </w:rPr>
              <w:t xml:space="preserve">Bombas (vacío/secado y muestra)</w:t>
            </w:r>
            <w:r>
              <w:rPr>
                <w:sz w:val="18"/>
                <w:szCs w:val="18"/>
              </w:rPr>
              <w:t xml:space="preserve"> · Instrumentación de presión · Estanqueidad · Flujo de muestra y válvulas</w:t>
            </w:r>
          </w:p>
        </w:tc>
        <w:tc>
          <w:tcPr>
            <w:tcW w:type="dxa" w:w="3008"/>
            <w:tcMar>
              <w:top w:type="dxa" w:w="60"/>
              <w:left w:type="dxa" w:w="100"/>
              <w:bottom w:type="dxa" w:w="60"/>
              <w:right w:type="dxa" w:w="100"/>
            </w:tcMar>
          </w:tcPr>
          <w:p>
            <w:r>
              <w:rPr>
                <w:sz w:val="18"/>
                <w:szCs w:val="18"/>
              </w:rPr>
              <w:t xml:space="preserve">18</w:t>
            </w:r>
          </w:p>
        </w:tc>
      </w:tr>
      <w:tr>
        <w:tc>
          <w:tcPr>
            <w:tcW w:type="dxa" w:w="3008"/>
            <w:tcMar>
              <w:top w:type="dxa" w:w="60"/>
              <w:left w:type="dxa" w:w="100"/>
              <w:bottom w:type="dxa" w:w="60"/>
              <w:right w:type="dxa" w:w="100"/>
            </w:tcMar>
          </w:tcPr>
          <w:p>
            <w:r>
              <w:rPr>
                <w:sz w:val="18"/>
                <w:szCs w:val="18"/>
              </w:rPr>
              <w:t xml:space="preserve">4. Espectrómetro: cámara de medida y óptica</w:t>
            </w:r>
          </w:p>
        </w:tc>
        <w:tc>
          <w:tcPr>
            <w:tcW w:type="dxa" w:w="3008"/>
            <w:tcMar>
              <w:top w:type="dxa" w:w="60"/>
              <w:left w:type="dxa" w:w="100"/>
              <w:bottom w:type="dxa" w:w="60"/>
              <w:right w:type="dxa" w:w="100"/>
            </w:tcMar>
          </w:tcPr>
          <w:p>
            <w:r>
              <w:rPr>
                <w:sz w:val="18"/>
                <w:szCs w:val="18"/>
              </w:rPr>
              <w:t xml:space="preserve">Estado del recinto · Componentes ópticos · Unidad láser · Pruebas funcionales</w:t>
            </w:r>
          </w:p>
        </w:tc>
        <w:tc>
          <w:tcPr>
            <w:tcW w:type="dxa" w:w="3008"/>
            <w:tcMar>
              <w:top w:type="dxa" w:w="60"/>
              <w:left w:type="dxa" w:w="100"/>
              <w:bottom w:type="dxa" w:w="60"/>
              <w:right w:type="dxa" w:w="100"/>
            </w:tcMar>
          </w:tcPr>
          <w:p>
            <w:r>
              <w:rPr>
                <w:sz w:val="18"/>
                <w:szCs w:val="18"/>
              </w:rPr>
              <w:t xml:space="preserve">14</w:t>
            </w:r>
          </w:p>
        </w:tc>
      </w:tr>
      <w:tr>
        <w:tc>
          <w:tcPr>
            <w:tcW w:type="dxa" w:w="3008"/>
            <w:tcMar>
              <w:top w:type="dxa" w:w="60"/>
              <w:left w:type="dxa" w:w="100"/>
              <w:bottom w:type="dxa" w:w="60"/>
              <w:right w:type="dxa" w:w="100"/>
            </w:tcMar>
          </w:tcPr>
          <w:p>
            <w:r>
              <w:rPr>
                <w:sz w:val="18"/>
                <w:szCs w:val="18"/>
              </w:rPr>
              <w:t xml:space="preserve">5. Electrónica y control</w:t>
            </w:r>
          </w:p>
        </w:tc>
        <w:tc>
          <w:tcPr>
            <w:tcW w:type="dxa" w:w="3008"/>
            <w:tcMar>
              <w:top w:type="dxa" w:w="60"/>
              <w:left w:type="dxa" w:w="100"/>
              <w:bottom w:type="dxa" w:w="60"/>
              <w:right w:type="dxa" w:w="100"/>
            </w:tcMar>
          </w:tcPr>
          <w:p>
            <w:r>
              <w:rPr>
                <w:sz w:val="18"/>
                <w:szCs w:val="18"/>
              </w:rPr>
              <w:t xml:space="preserve">Tarjetas · Ajustes y ganancias · Alimentación y memoria · Software de diagnóstico · Reloj interno y trazabilidad</w:t>
            </w:r>
          </w:p>
        </w:tc>
        <w:tc>
          <w:tcPr>
            <w:tcW w:type="dxa" w:w="3008"/>
            <w:tcMar>
              <w:top w:type="dxa" w:w="60"/>
              <w:left w:type="dxa" w:w="100"/>
              <w:bottom w:type="dxa" w:w="60"/>
              <w:right w:type="dxa" w:w="100"/>
            </w:tcMar>
          </w:tcPr>
          <w:p>
            <w:r>
              <w:rPr>
                <w:sz w:val="18"/>
                <w:szCs w:val="18"/>
              </w:rPr>
              <w:t xml:space="preserve">15</w:t>
            </w:r>
          </w:p>
        </w:tc>
      </w:tr>
      <w:tr>
        <w:tc>
          <w:tcPr>
            <w:tcW w:type="dxa" w:w="3008"/>
            <w:tcMar>
              <w:top w:type="dxa" w:w="60"/>
              <w:left w:type="dxa" w:w="100"/>
              <w:bottom w:type="dxa" w:w="60"/>
              <w:right w:type="dxa" w:w="100"/>
            </w:tcMar>
          </w:tcPr>
          <w:p>
            <w:r>
              <w:rPr>
                <w:sz w:val="18"/>
                <w:szCs w:val="18"/>
              </w:rPr>
              <w:t xml:space="preserve">6. Filtros y consumibles</w:t>
            </w:r>
          </w:p>
        </w:tc>
        <w:tc>
          <w:tcPr>
            <w:tcW w:type="dxa" w:w="3008"/>
            <w:tcMar>
              <w:top w:type="dxa" w:w="60"/>
              <w:left w:type="dxa" w:w="100"/>
              <w:bottom w:type="dxa" w:w="60"/>
              <w:right w:type="dxa" w:w="100"/>
            </w:tcMar>
          </w:tcPr>
          <w:p>
            <w:r>
              <w:rPr>
                <w:sz w:val="18"/>
                <w:szCs w:val="18"/>
              </w:rPr>
              <w:t xml:space="preserve">Filtros · Juntas y sellos</w:t>
            </w:r>
          </w:p>
        </w:tc>
        <w:tc>
          <w:tcPr>
            <w:tcW w:type="dxa" w:w="3008"/>
            <w:tcMar>
              <w:top w:type="dxa" w:w="60"/>
              <w:left w:type="dxa" w:w="100"/>
              <w:bottom w:type="dxa" w:w="60"/>
              <w:right w:type="dxa" w:w="100"/>
            </w:tcMar>
          </w:tcPr>
          <w:p>
            <w:r>
              <w:rPr>
                <w:sz w:val="18"/>
                <w:szCs w:val="18"/>
              </w:rPr>
              <w:t xml:space="preserve">9</w:t>
            </w:r>
          </w:p>
        </w:tc>
      </w:tr>
      <w:tr>
        <w:tc>
          <w:tcPr>
            <w:tcW w:type="dxa" w:w="3008"/>
            <w:tcMar>
              <w:top w:type="dxa" w:w="60"/>
              <w:left w:type="dxa" w:w="100"/>
              <w:bottom w:type="dxa" w:w="60"/>
              <w:right w:type="dxa" w:w="100"/>
            </w:tcMar>
          </w:tcPr>
          <w:p>
            <w:r>
              <w:rPr>
                <w:sz w:val="18"/>
                <w:szCs w:val="18"/>
              </w:rPr>
              <w:t xml:space="preserve">7. Sensores auxiliares</w:t>
            </w:r>
          </w:p>
        </w:tc>
        <w:tc>
          <w:tcPr>
            <w:tcW w:type="dxa" w:w="3008"/>
            <w:tcMar>
              <w:top w:type="dxa" w:w="60"/>
              <w:left w:type="dxa" w:w="100"/>
              <w:bottom w:type="dxa" w:w="60"/>
              <w:right w:type="dxa" w:w="100"/>
            </w:tcMar>
          </w:tcPr>
          <w:p>
            <w:r>
              <w:rPr>
                <w:sz w:val="18"/>
                <w:szCs w:val="18"/>
              </w:rPr>
              <w:t xml:space="preserve">Sensor ambiental · Sensores internos</w:t>
            </w:r>
          </w:p>
        </w:tc>
        <w:tc>
          <w:tcPr>
            <w:tcW w:type="dxa" w:w="3008"/>
            <w:tcMar>
              <w:top w:type="dxa" w:w="60"/>
              <w:left w:type="dxa" w:w="100"/>
              <w:bottom w:type="dxa" w:w="60"/>
              <w:right w:type="dxa" w:w="100"/>
            </w:tcMar>
          </w:tcPr>
          <w:p>
            <w:r>
              <w:rPr>
                <w:sz w:val="18"/>
                <w:szCs w:val="18"/>
              </w:rPr>
              <w:t xml:space="preserve">6</w:t>
            </w:r>
          </w:p>
        </w:tc>
      </w:tr>
      <w:tr>
        <w:tc>
          <w:tcPr>
            <w:tcW w:type="dxa" w:w="3008"/>
            <w:tcMar>
              <w:top w:type="dxa" w:w="60"/>
              <w:left w:type="dxa" w:w="100"/>
              <w:bottom w:type="dxa" w:w="60"/>
              <w:right w:type="dxa" w:w="100"/>
            </w:tcMar>
          </w:tcPr>
          <w:p>
            <w:r>
              <w:rPr>
                <w:sz w:val="18"/>
                <w:szCs w:val="18"/>
              </w:rPr>
              <w:t xml:space="preserve">8. Gabinete, montaje e instalación</w:t>
            </w:r>
          </w:p>
        </w:tc>
        <w:tc>
          <w:tcPr>
            <w:tcW w:type="dxa" w:w="3008"/>
            <w:tcMar>
              <w:top w:type="dxa" w:w="60"/>
              <w:left w:type="dxa" w:w="100"/>
              <w:bottom w:type="dxa" w:w="60"/>
              <w:right w:type="dxa" w:w="100"/>
            </w:tcMar>
          </w:tcPr>
          <w:p>
            <w:r>
              <w:rPr>
                <w:sz w:val="18"/>
                <w:szCs w:val="18"/>
              </w:rPr>
              <w:t xml:space="preserve">Gabinete · Montaje en estación · Servicios</w:t>
            </w:r>
          </w:p>
        </w:tc>
        <w:tc>
          <w:tcPr>
            <w:tcW w:type="dxa" w:w="3008"/>
            <w:tcMar>
              <w:top w:type="dxa" w:w="60"/>
              <w:left w:type="dxa" w:w="100"/>
              <w:bottom w:type="dxa" w:w="60"/>
              <w:right w:type="dxa" w:w="100"/>
            </w:tcMar>
          </w:tcPr>
          <w:p>
            <w:r>
              <w:rPr>
                <w:sz w:val="18"/>
                <w:szCs w:val="18"/>
              </w:rPr>
              <w:t xml:space="preserve">11</w:t>
            </w:r>
          </w:p>
        </w:tc>
      </w:tr>
    </w:tbl>
    <w:p>
      <w:pPr>
        <w:spacing w:after="160"/>
      </w:pPr>
    </w:p>
    <w:p>
      <w:pPr>
        <w:spacing w:after="160"/>
      </w:pPr>
      <w:r>
        <w:t xml:space="preserve">(Negrita = subnivel renombrado en v3 para reflejar la bomba de muestra nueva.)</w:t>
      </w:r>
    </w:p>
    <w:p>
      <w:pPr>
        <w:pStyle w:val="Heading2"/>
        <w:spacing w:after="120" w:before="240"/>
      </w:pPr>
      <w:r>
        <w:t xml:space="preserve">3. Criterios de aceptación confirmados con fuentes oficiales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shd w:fill="1F3864" w:val="clear"/>
            <w:tcMar>
              <w:top w:type="dxa" w:w="80"/>
              <w:left w:type="dxa" w:w="100"/>
              <w:bottom w:type="dxa" w:w="80"/>
              <w:right w:type="dxa" w:w="100"/>
            </w:tcMar>
          </w:tcPr>
          <w:p>
            <w:r>
              <w:rPr>
                <w:b/>
                <w:bCs/>
                <w:color w:val="FFFFFF"/>
                <w:sz w:val="18"/>
                <w:szCs w:val="18"/>
              </w:rPr>
              <w:t xml:space="preserve">Ítem</w:t>
            </w:r>
          </w:p>
        </w:tc>
        <w:tc>
          <w:tcPr>
            <w:tcW w:type="dxa" w:w="3008"/>
            <w:shd w:fill="1F3864" w:val="clear"/>
            <w:tcMar>
              <w:top w:type="dxa" w:w="80"/>
              <w:left w:type="dxa" w:w="100"/>
              <w:bottom w:type="dxa" w:w="80"/>
              <w:right w:type="dxa" w:w="100"/>
            </w:tcMar>
          </w:tcPr>
          <w:p>
            <w:r>
              <w:rPr>
                <w:b/>
                <w:bCs/>
                <w:color w:val="FFFFFF"/>
                <w:sz w:val="18"/>
                <w:szCs w:val="18"/>
              </w:rPr>
              <w:t xml:space="preserve">Criterio</w:t>
            </w:r>
          </w:p>
        </w:tc>
        <w:tc>
          <w:tcPr>
            <w:tcW w:type="dxa" w:w="3008"/>
            <w:shd w:fill="1F3864" w:val="clear"/>
            <w:tcMar>
              <w:top w:type="dxa" w:w="80"/>
              <w:left w:type="dxa" w:w="100"/>
              <w:bottom w:type="dxa" w:w="80"/>
              <w:right w:type="dxa" w:w="100"/>
            </w:tcMar>
          </w:tcPr>
          <w:p>
            <w:r>
              <w:rPr>
                <w:b/>
                <w:bCs/>
                <w:color w:val="FFFFFF"/>
                <w:sz w:val="18"/>
                <w:szCs w:val="18"/>
              </w:rPr>
              <w:t xml:space="preserve">Fuente</w:t>
            </w:r>
          </w:p>
        </w:tc>
      </w:tr>
      <w:tr>
        <w:tc>
          <w:tcPr>
            <w:tcW w:type="dxa" w:w="3008"/>
            <w:tcMar>
              <w:top w:type="dxa" w:w="60"/>
              <w:left w:type="dxa" w:w="100"/>
              <w:bottom w:type="dxa" w:w="60"/>
              <w:right w:type="dxa" w:w="100"/>
            </w:tcMar>
          </w:tcPr>
          <w:p>
            <w:r>
              <w:rPr>
                <w:sz w:val="18"/>
                <w:szCs w:val="18"/>
              </w:rPr>
              <w:t xml:space="preserve">Ganancia canales F y G (vs. referencia)</w:t>
            </w:r>
          </w:p>
        </w:tc>
        <w:tc>
          <w:tcPr>
            <w:tcW w:type="dxa" w:w="3008"/>
            <w:tcMar>
              <w:top w:type="dxa" w:w="60"/>
              <w:left w:type="dxa" w:w="100"/>
              <w:bottom w:type="dxa" w:w="60"/>
              <w:right w:type="dxa" w:w="100"/>
            </w:tcMar>
          </w:tcPr>
          <w:p>
            <w:r>
              <w:rPr>
                <w:sz w:val="18"/>
                <w:szCs w:val="18"/>
              </w:rPr>
              <w:t xml:space="preserve">entre </w:t>
            </w:r>
            <w:r>
              <w:rPr>
                <w:b/>
                <w:bCs/>
                <w:sz w:val="18"/>
                <w:szCs w:val="18"/>
              </w:rPr>
              <w:t xml:space="preserve">−2 %</w:t>
            </w:r>
            <w:r>
              <w:rPr>
                <w:sz w:val="18"/>
                <w:szCs w:val="18"/>
              </w:rPr>
              <w:t xml:space="preserve"> y </w:t>
            </w:r>
            <w:r>
              <w:rPr>
                <w:b/>
                <w:bCs/>
                <w:sz w:val="18"/>
                <w:szCs w:val="18"/>
              </w:rPr>
              <w:t xml:space="preserve">+5 %</w:t>
            </w:r>
          </w:p>
        </w:tc>
        <w:tc>
          <w:tcPr>
            <w:tcW w:type="dxa" w:w="3008"/>
            <w:tcMar>
              <w:top w:type="dxa" w:w="60"/>
              <w:left w:type="dxa" w:w="100"/>
              <w:bottom w:type="dxa" w:w="60"/>
              <w:right w:type="dxa" w:w="100"/>
            </w:tcMar>
          </w:tcPr>
          <w:p>
            <w:r>
              <w:rPr>
                <w:sz w:val="18"/>
                <w:szCs w:val="18"/>
              </w:rPr>
              <w:t xml:space="preserve">informes de campo (sin confirmar en manual/training tras dos pasadas)</w:t>
            </w:r>
          </w:p>
        </w:tc>
      </w:tr>
      <w:tr>
        <w:tc>
          <w:tcPr>
            <w:tcW w:type="dxa" w:w="3008"/>
            <w:tcMar>
              <w:top w:type="dxa" w:w="60"/>
              <w:left w:type="dxa" w:w="100"/>
              <w:bottom w:type="dxa" w:w="60"/>
              <w:right w:type="dxa" w:w="100"/>
            </w:tcMar>
          </w:tcPr>
          <w:p>
            <w:r>
              <w:rPr>
                <w:sz w:val="18"/>
                <w:szCs w:val="18"/>
              </w:rPr>
              <w:t xml:space="preserve">Ajuste digital de ganancias (canales 0-J)</w:t>
            </w:r>
          </w:p>
        </w:tc>
        <w:tc>
          <w:tcPr>
            <w:tcW w:type="dxa" w:w="3008"/>
            <w:tcMar>
              <w:top w:type="dxa" w:w="60"/>
              <w:left w:type="dxa" w:w="100"/>
              <w:bottom w:type="dxa" w:w="60"/>
              <w:right w:type="dxa" w:w="100"/>
            </w:tcMar>
          </w:tcPr>
          <w:p>
            <w:r>
              <w:rPr>
                <w:b/>
                <w:bCs/>
                <w:sz w:val="18"/>
                <w:szCs w:val="18"/>
              </w:rPr>
              <w:t xml:space="preserve">±2 %</w:t>
            </w:r>
          </w:p>
        </w:tc>
        <w:tc>
          <w:tcPr>
            <w:tcW w:type="dxa" w:w="3008"/>
            <w:tcMar>
              <w:top w:type="dxa" w:w="60"/>
              <w:left w:type="dxa" w:w="100"/>
              <w:bottom w:type="dxa" w:w="60"/>
              <w:right w:type="dxa" w:w="100"/>
            </w:tcMar>
          </w:tcPr>
          <w:p>
            <w:r>
              <w:rPr>
                <w:sz w:val="18"/>
                <w:szCs w:val="18"/>
              </w:rPr>
              <w:t xml:space="preserve">correo "EDM180C Calibration desviación" (GRIMM, nov-2021)</w:t>
            </w:r>
          </w:p>
        </w:tc>
      </w:tr>
      <w:tr>
        <w:tc>
          <w:tcPr>
            <w:tcW w:type="dxa" w:w="3008"/>
            <w:tcMar>
              <w:top w:type="dxa" w:w="60"/>
              <w:left w:type="dxa" w:w="100"/>
              <w:bottom w:type="dxa" w:w="60"/>
              <w:right w:type="dxa" w:w="100"/>
            </w:tcMar>
          </w:tcPr>
          <w:p>
            <w:r>
              <w:rPr>
                <w:sz w:val="18"/>
                <w:szCs w:val="18"/>
              </w:rPr>
              <w:t xml:space="preserve">Desviación relativa de masa (verificación aire ambiente)</w:t>
            </w:r>
          </w:p>
        </w:tc>
        <w:tc>
          <w:tcPr>
            <w:tcW w:type="dxa" w:w="3008"/>
            <w:tcMar>
              <w:top w:type="dxa" w:w="60"/>
              <w:left w:type="dxa" w:w="100"/>
              <w:bottom w:type="dxa" w:w="60"/>
              <w:right w:type="dxa" w:w="100"/>
            </w:tcMar>
          </w:tcPr>
          <w:p>
            <w:r>
              <w:rPr>
                <w:sz w:val="18"/>
                <w:szCs w:val="18"/>
              </w:rPr>
              <w:t xml:space="preserve">fábrica ±3% o ±2µg/m³; </w:t>
            </w:r>
            <w:r>
              <w:rPr>
                <w:b/>
                <w:bCs/>
                <w:sz w:val="18"/>
                <w:szCs w:val="18"/>
              </w:rPr>
              <w:t xml:space="preserve">cliente/campo ±5% o ±2µg/m³</w:t>
            </w:r>
          </w:p>
        </w:tc>
        <w:tc>
          <w:tcPr>
            <w:tcW w:type="dxa" w:w="3008"/>
            <w:tcMar>
              <w:top w:type="dxa" w:w="60"/>
              <w:left w:type="dxa" w:w="100"/>
              <w:bottom w:type="dxa" w:w="60"/>
              <w:right w:type="dxa" w:w="100"/>
            </w:tcMar>
          </w:tcPr>
          <w:p>
            <w:r>
              <w:rPr>
                <w:sz w:val="18"/>
                <w:szCs w:val="18"/>
              </w:rPr>
              <w:t xml:space="preserve">correo GRIMM (Tobias Hoff, nov-2021)</w:t>
            </w:r>
          </w:p>
        </w:tc>
      </w:tr>
      <w:tr>
        <w:tc>
          <w:tcPr>
            <w:tcW w:type="dxa" w:w="3008"/>
            <w:tcMar>
              <w:top w:type="dxa" w:w="60"/>
              <w:left w:type="dxa" w:w="100"/>
              <w:bottom w:type="dxa" w:w="60"/>
              <w:right w:type="dxa" w:w="100"/>
            </w:tcMar>
          </w:tcPr>
          <w:p>
            <w:r>
              <w:rPr>
                <w:sz w:val="18"/>
                <w:szCs w:val="18"/>
              </w:rPr>
              <w:t xml:space="preserve">Flujo de muestra (sample flow)</w:t>
            </w:r>
          </w:p>
        </w:tc>
        <w:tc>
          <w:tcPr>
            <w:tcW w:type="dxa" w:w="3008"/>
            <w:tcMar>
              <w:top w:type="dxa" w:w="60"/>
              <w:left w:type="dxa" w:w="100"/>
              <w:bottom w:type="dxa" w:w="60"/>
              <w:right w:type="dxa" w:w="100"/>
            </w:tcMar>
          </w:tcPr>
          <w:p>
            <w:r>
              <w:rPr>
                <w:b/>
                <w:bCs/>
                <w:sz w:val="18"/>
                <w:szCs w:val="18"/>
              </w:rPr>
              <w:t xml:space="preserve">1,2 L/min ±3%</w:t>
            </w:r>
            <w:r>
              <w:rPr>
                <w:sz w:val="18"/>
                <w:szCs w:val="18"/>
              </w:rPr>
              <w:t xml:space="preserve"> (o desviación máx. 0,02 L/min)</w:t>
            </w:r>
          </w:p>
        </w:tc>
        <w:tc>
          <w:tcPr>
            <w:tcW w:type="dxa" w:w="3008"/>
            <w:tcMar>
              <w:top w:type="dxa" w:w="60"/>
              <w:left w:type="dxa" w:w="100"/>
              <w:bottom w:type="dxa" w:w="60"/>
              <w:right w:type="dxa" w:w="100"/>
            </w:tcMar>
          </w:tcPr>
          <w:p>
            <w:r>
              <w:rPr>
                <w:sz w:val="18"/>
                <w:szCs w:val="18"/>
              </w:rPr>
              <w:t xml:space="preserve">Service Training / manual SER-MAN</w:t>
            </w:r>
          </w:p>
        </w:tc>
      </w:tr>
      <w:tr>
        <w:tc>
          <w:tcPr>
            <w:tcW w:type="dxa" w:w="3008"/>
            <w:tcMar>
              <w:top w:type="dxa" w:w="60"/>
              <w:left w:type="dxa" w:w="100"/>
              <w:bottom w:type="dxa" w:w="60"/>
              <w:right w:type="dxa" w:w="100"/>
            </w:tcMar>
          </w:tcPr>
          <w:p>
            <w:r>
              <w:rPr>
                <w:sz w:val="18"/>
                <w:szCs w:val="18"/>
              </w:rPr>
              <w:t xml:space="preserve">Flujo bomba de secado (vacuum flow)</w:t>
            </w:r>
          </w:p>
        </w:tc>
        <w:tc>
          <w:tcPr>
            <w:tcW w:type="dxa" w:w="3008"/>
            <w:tcMar>
              <w:top w:type="dxa" w:w="60"/>
              <w:left w:type="dxa" w:w="100"/>
              <w:bottom w:type="dxa" w:w="60"/>
              <w:right w:type="dxa" w:w="100"/>
            </w:tcMar>
          </w:tcPr>
          <w:p>
            <w:r>
              <w:rPr>
                <w:sz w:val="18"/>
                <w:szCs w:val="18"/>
              </w:rPr>
              <w:t xml:space="preserve">~1,8 L/min (válvula aguja, antiguos) / 2,0–2,2 L/min (tobera crítica, desde 2004) / </w:t>
            </w:r>
            <w:r>
              <w:rPr>
                <w:b/>
                <w:bCs/>
                <w:sz w:val="18"/>
                <w:szCs w:val="18"/>
              </w:rPr>
              <w:t xml:space="preserve">2,0±0,1 L/min</w:t>
            </w:r>
            <w:r>
              <w:rPr>
                <w:sz w:val="18"/>
                <w:szCs w:val="18"/>
              </w:rPr>
              <w:t xml:space="preserve"> (Service Training)</w:t>
            </w:r>
          </w:p>
        </w:tc>
        <w:tc>
          <w:tcPr>
            <w:tcW w:type="dxa" w:w="3008"/>
            <w:tcMar>
              <w:top w:type="dxa" w:w="60"/>
              <w:left w:type="dxa" w:w="100"/>
              <w:bottom w:type="dxa" w:w="60"/>
              <w:right w:type="dxa" w:w="100"/>
            </w:tcMar>
          </w:tcPr>
          <w:p>
            <w:r>
              <w:rPr>
                <w:sz w:val="18"/>
                <w:szCs w:val="18"/>
              </w:rPr>
              <w:t xml:space="preserve">manual SER-MAN / Service Training</w:t>
            </w:r>
          </w:p>
        </w:tc>
      </w:tr>
      <w:tr>
        <w:tc>
          <w:tcPr>
            <w:tcW w:type="dxa" w:w="3008"/>
            <w:tcMar>
              <w:top w:type="dxa" w:w="60"/>
              <w:left w:type="dxa" w:w="100"/>
              <w:bottom w:type="dxa" w:w="60"/>
              <w:right w:type="dxa" w:w="100"/>
            </w:tcMar>
          </w:tcPr>
          <w:p>
            <w:r>
              <w:rPr>
                <w:sz w:val="18"/>
                <w:szCs w:val="18"/>
              </w:rPr>
              <w:t xml:space="preserve">Presión de vacío etapa de secado</w:t>
            </w:r>
          </w:p>
        </w:tc>
        <w:tc>
          <w:tcPr>
            <w:tcW w:type="dxa" w:w="3008"/>
            <w:tcMar>
              <w:top w:type="dxa" w:w="60"/>
              <w:left w:type="dxa" w:w="100"/>
              <w:bottom w:type="dxa" w:w="60"/>
              <w:right w:type="dxa" w:w="100"/>
            </w:tcMar>
          </w:tcPr>
          <w:p>
            <w:r>
              <w:rPr>
                <w:b/>
                <w:bCs/>
                <w:sz w:val="18"/>
                <w:szCs w:val="18"/>
              </w:rPr>
              <w:t xml:space="preserve">−60±10 kPa</w:t>
            </w:r>
          </w:p>
        </w:tc>
        <w:tc>
          <w:tcPr>
            <w:tcW w:type="dxa" w:w="3008"/>
            <w:tcMar>
              <w:top w:type="dxa" w:w="60"/>
              <w:left w:type="dxa" w:w="100"/>
              <w:bottom w:type="dxa" w:w="60"/>
              <w:right w:type="dxa" w:w="100"/>
            </w:tcMar>
          </w:tcPr>
          <w:p>
            <w:r>
              <w:rPr>
                <w:sz w:val="18"/>
                <w:szCs w:val="18"/>
              </w:rPr>
              <w:t xml:space="preserve">Service Training</w:t>
            </w:r>
          </w:p>
        </w:tc>
      </w:tr>
      <w:tr>
        <w:tc>
          <w:tcPr>
            <w:tcW w:type="dxa" w:w="3008"/>
            <w:tcMar>
              <w:top w:type="dxa" w:w="60"/>
              <w:left w:type="dxa" w:w="100"/>
              <w:bottom w:type="dxa" w:w="60"/>
              <w:right w:type="dxa" w:w="100"/>
            </w:tcMar>
          </w:tcPr>
          <w:p>
            <w:r>
              <w:rPr>
                <w:sz w:val="18"/>
                <w:szCs w:val="18"/>
              </w:rPr>
              <w:t xml:space="preserve">Prueba de estanqueidad (tensiómetro)</w:t>
            </w:r>
          </w:p>
        </w:tc>
        <w:tc>
          <w:tcPr>
            <w:tcW w:type="dxa" w:w="3008"/>
            <w:tcMar>
              <w:top w:type="dxa" w:w="60"/>
              <w:left w:type="dxa" w:w="100"/>
              <w:bottom w:type="dxa" w:w="60"/>
              <w:right w:type="dxa" w:w="100"/>
            </w:tcMar>
          </w:tcPr>
          <w:p>
            <w:r>
              <w:rPr>
                <w:sz w:val="18"/>
                <w:szCs w:val="18"/>
              </w:rPr>
              <w:t xml:space="preserve">cargar 80 mmHg; caída máx. 2 mmHg/10s (manual) o debe quedar &gt;60 mmHg tras 20s (training)</w:t>
            </w:r>
          </w:p>
        </w:tc>
        <w:tc>
          <w:tcPr>
            <w:tcW w:type="dxa" w:w="3008"/>
            <w:tcMar>
              <w:top w:type="dxa" w:w="60"/>
              <w:left w:type="dxa" w:w="100"/>
              <w:bottom w:type="dxa" w:w="60"/>
              <w:right w:type="dxa" w:w="100"/>
            </w:tcMar>
          </w:tcPr>
          <w:p>
            <w:r>
              <w:rPr>
                <w:sz w:val="18"/>
                <w:szCs w:val="18"/>
              </w:rPr>
              <w:t xml:space="preserve">manual SER-MAN / Service Training</w:t>
            </w:r>
          </w:p>
        </w:tc>
      </w:tr>
      <w:tr>
        <w:tc>
          <w:tcPr>
            <w:tcW w:type="dxa" w:w="3008"/>
            <w:tcMar>
              <w:top w:type="dxa" w:w="60"/>
              <w:left w:type="dxa" w:w="100"/>
              <w:bottom w:type="dxa" w:w="60"/>
              <w:right w:type="dxa" w:w="100"/>
            </w:tcMar>
          </w:tcPr>
          <w:p>
            <w:r>
              <w:rPr>
                <w:sz w:val="18"/>
                <w:szCs w:val="18"/>
              </w:rPr>
              <w:t xml:space="preserve">Aire de purga (Rinsing Air Controller)</w:t>
            </w:r>
          </w:p>
        </w:tc>
        <w:tc>
          <w:tcPr>
            <w:tcW w:type="dxa" w:w="3008"/>
            <w:tcMar>
              <w:top w:type="dxa" w:w="60"/>
              <w:left w:type="dxa" w:w="100"/>
              <w:bottom w:type="dxa" w:w="60"/>
              <w:right w:type="dxa" w:w="100"/>
            </w:tcMar>
          </w:tcPr>
          <w:p>
            <w:r>
              <w:rPr>
                <w:b/>
                <w:bCs/>
                <w:sz w:val="18"/>
                <w:szCs w:val="18"/>
              </w:rPr>
              <w:t xml:space="preserve">0,3–0,5 L/min</w:t>
            </w:r>
            <w:r>
              <w:rPr>
                <w:sz w:val="18"/>
                <w:szCs w:val="18"/>
              </w:rPr>
              <w:t xml:space="preserve">, chequeo anual</w:t>
            </w:r>
          </w:p>
        </w:tc>
        <w:tc>
          <w:tcPr>
            <w:tcW w:type="dxa" w:w="3008"/>
            <w:tcMar>
              <w:top w:type="dxa" w:w="60"/>
              <w:left w:type="dxa" w:w="100"/>
              <w:bottom w:type="dxa" w:w="60"/>
              <w:right w:type="dxa" w:w="100"/>
            </w:tcMar>
          </w:tcPr>
          <w:p>
            <w:r>
              <w:rPr>
                <w:sz w:val="18"/>
                <w:szCs w:val="18"/>
              </w:rPr>
              <w:t xml:space="preserve">manual SER-MAN / Service Training</w:t>
            </w:r>
          </w:p>
        </w:tc>
      </w:tr>
      <w:tr>
        <w:tc>
          <w:tcPr>
            <w:tcW w:type="dxa" w:w="3008"/>
            <w:tcMar>
              <w:top w:type="dxa" w:w="60"/>
              <w:left w:type="dxa" w:w="100"/>
              <w:bottom w:type="dxa" w:w="60"/>
              <w:right w:type="dxa" w:w="100"/>
            </w:tcMar>
          </w:tcPr>
          <w:p>
            <w:r>
              <w:rPr>
                <w:sz w:val="18"/>
                <w:szCs w:val="18"/>
              </w:rPr>
              <w:t xml:space="preserve">Valores K-Line del láser</w:t>
            </w:r>
          </w:p>
        </w:tc>
        <w:tc>
          <w:tcPr>
            <w:tcW w:type="dxa" w:w="3008"/>
            <w:tcMar>
              <w:top w:type="dxa" w:w="60"/>
              <w:left w:type="dxa" w:w="100"/>
              <w:bottom w:type="dxa" w:w="60"/>
              <w:right w:type="dxa" w:w="100"/>
            </w:tcMar>
          </w:tcPr>
          <w:p>
            <w:r>
              <w:rPr>
                <w:sz w:val="18"/>
                <w:szCs w:val="18"/>
              </w:rPr>
              <w:t xml:space="preserve">DC_h &lt; </w:t>
            </w:r>
            <w:r>
              <w:rPr>
                <w:b/>
                <w:bCs/>
                <w:sz w:val="18"/>
                <w:szCs w:val="18"/>
              </w:rPr>
              <w:t xml:space="preserve">500,0 mV</w:t>
            </w:r>
            <w:r>
              <w:rPr>
                <w:sz w:val="18"/>
                <w:szCs w:val="18"/>
              </w:rPr>
              <w:t xml:space="preserve">; DC_diff (DC_h−DC_d) &lt; </w:t>
            </w:r>
            <w:r>
              <w:rPr>
                <w:b/>
                <w:bCs/>
                <w:sz w:val="18"/>
                <w:szCs w:val="18"/>
              </w:rPr>
              <w:t xml:space="preserve">100,0 mV</w:t>
            </w:r>
          </w:p>
        </w:tc>
        <w:tc>
          <w:tcPr>
            <w:tcW w:type="dxa" w:w="3008"/>
            <w:tcMar>
              <w:top w:type="dxa" w:w="60"/>
              <w:left w:type="dxa" w:w="100"/>
              <w:bottom w:type="dxa" w:w="60"/>
              <w:right w:type="dxa" w:w="100"/>
            </w:tcMar>
          </w:tcPr>
          <w:p>
            <w:r>
              <w:rPr>
                <w:sz w:val="18"/>
                <w:szCs w:val="18"/>
              </w:rPr>
              <w:t xml:space="preserve">Service Training</w:t>
            </w:r>
          </w:p>
        </w:tc>
      </w:tr>
      <w:tr>
        <w:tc>
          <w:tcPr>
            <w:tcW w:type="dxa" w:w="3008"/>
            <w:tcMar>
              <w:top w:type="dxa" w:w="60"/>
              <w:left w:type="dxa" w:w="100"/>
              <w:bottom w:type="dxa" w:w="60"/>
              <w:right w:type="dxa" w:w="100"/>
            </w:tcMar>
          </w:tcPr>
          <w:p>
            <w:r>
              <w:rPr>
                <w:sz w:val="18"/>
                <w:szCs w:val="18"/>
              </w:rPr>
              <w:t xml:space="preserve">Potencia óptica del láser</w:t>
            </w:r>
          </w:p>
        </w:tc>
        <w:tc>
          <w:tcPr>
            <w:tcW w:type="dxa" w:w="3008"/>
            <w:tcMar>
              <w:top w:type="dxa" w:w="60"/>
              <w:left w:type="dxa" w:w="100"/>
              <w:bottom w:type="dxa" w:w="60"/>
              <w:right w:type="dxa" w:w="100"/>
            </w:tcMar>
          </w:tcPr>
          <w:p>
            <w:r>
              <w:rPr>
                <w:sz w:val="18"/>
                <w:szCs w:val="18"/>
              </w:rPr>
              <w:t xml:space="preserve">alta 30±10 mW; baja 0,4±0,1 mW; máx. fábrica 60 mW; clase 3B (máx. 500 mW, 660 nm)</w:t>
            </w:r>
          </w:p>
        </w:tc>
        <w:tc>
          <w:tcPr>
            <w:tcW w:type="dxa" w:w="3008"/>
            <w:tcMar>
              <w:top w:type="dxa" w:w="60"/>
              <w:left w:type="dxa" w:w="100"/>
              <w:bottom w:type="dxa" w:w="60"/>
              <w:right w:type="dxa" w:w="100"/>
            </w:tcMar>
          </w:tcPr>
          <w:p>
            <w:r>
              <w:rPr>
                <w:sz w:val="18"/>
                <w:szCs w:val="18"/>
              </w:rPr>
              <w:t xml:space="preserve">Service Training</w:t>
            </w:r>
          </w:p>
        </w:tc>
      </w:tr>
      <w:tr>
        <w:tc>
          <w:tcPr>
            <w:tcW w:type="dxa" w:w="3008"/>
            <w:tcMar>
              <w:top w:type="dxa" w:w="60"/>
              <w:left w:type="dxa" w:w="100"/>
              <w:bottom w:type="dxa" w:w="60"/>
              <w:right w:type="dxa" w:w="100"/>
            </w:tcMar>
          </w:tcPr>
          <w:p>
            <w:r>
              <w:rPr>
                <w:sz w:val="18"/>
                <w:szCs w:val="18"/>
              </w:rPr>
              <w:t xml:space="preserve">Batería del reloj interno</w:t>
            </w:r>
          </w:p>
        </w:tc>
        <w:tc>
          <w:tcPr>
            <w:tcW w:type="dxa" w:w="3008"/>
            <w:tcMar>
              <w:top w:type="dxa" w:w="60"/>
              <w:left w:type="dxa" w:w="100"/>
              <w:bottom w:type="dxa" w:w="60"/>
              <w:right w:type="dxa" w:w="100"/>
            </w:tcMar>
          </w:tcPr>
          <w:p>
            <w:r>
              <w:rPr>
                <w:b/>
                <w:bCs/>
                <w:sz w:val="18"/>
                <w:szCs w:val="18"/>
              </w:rPr>
              <w:t xml:space="preserve">3,6 V</w:t>
            </w:r>
            <w:r>
              <w:rPr>
                <w:sz w:val="18"/>
                <w:szCs w:val="18"/>
              </w:rPr>
              <w:t xml:space="preserve"> nominal (SL-389, 1AH)</w:t>
            </w:r>
          </w:p>
        </w:tc>
        <w:tc>
          <w:tcPr>
            <w:tcW w:type="dxa" w:w="3008"/>
            <w:tcMar>
              <w:top w:type="dxa" w:w="60"/>
              <w:left w:type="dxa" w:w="100"/>
              <w:bottom w:type="dxa" w:w="60"/>
              <w:right w:type="dxa" w:w="100"/>
            </w:tcMar>
          </w:tcPr>
          <w:p>
            <w:r>
              <w:rPr>
                <w:sz w:val="18"/>
                <w:szCs w:val="18"/>
              </w:rPr>
              <w:t xml:space="preserve">manual SER-MAN</w:t>
            </w:r>
          </w:p>
        </w:tc>
      </w:tr>
      <w:tr>
        <w:tc>
          <w:tcPr>
            <w:tcW w:type="dxa" w:w="3008"/>
            <w:tcMar>
              <w:top w:type="dxa" w:w="60"/>
              <w:left w:type="dxa" w:w="100"/>
              <w:bottom w:type="dxa" w:w="60"/>
              <w:right w:type="dxa" w:w="100"/>
            </w:tcMar>
          </w:tcPr>
          <w:p>
            <w:r>
              <w:rPr>
                <w:sz w:val="18"/>
                <w:szCs w:val="18"/>
              </w:rPr>
              <w:t xml:space="preserve">Vigencia de calibración en Torre GRIMM</w:t>
            </w:r>
          </w:p>
        </w:tc>
        <w:tc>
          <w:tcPr>
            <w:tcW w:type="dxa" w:w="3008"/>
            <w:tcMar>
              <w:top w:type="dxa" w:w="60"/>
              <w:left w:type="dxa" w:w="100"/>
              <w:bottom w:type="dxa" w:w="60"/>
              <w:right w:type="dxa" w:w="100"/>
            </w:tcMar>
          </w:tcPr>
          <w:p>
            <w:r>
              <w:rPr>
                <w:sz w:val="18"/>
                <w:szCs w:val="18"/>
              </w:rPr>
              <w:t xml:space="preserve">12 meses</w:t>
            </w:r>
          </w:p>
        </w:tc>
        <w:tc>
          <w:tcPr>
            <w:tcW w:type="dxa" w:w="3008"/>
            <w:tcMar>
              <w:top w:type="dxa" w:w="60"/>
              <w:left w:type="dxa" w:w="100"/>
              <w:bottom w:type="dxa" w:w="60"/>
              <w:right w:type="dxa" w:w="100"/>
            </w:tcMar>
          </w:tcPr>
          <w:p>
            <w:r>
              <w:rPr>
                <w:sz w:val="18"/>
                <w:szCs w:val="18"/>
              </w:rPr>
              <w:t xml:space="preserve">informes de campo</w:t>
            </w:r>
          </w:p>
        </w:tc>
      </w:tr>
    </w:tbl>
    <w:p>
      <w:pPr>
        <w:spacing w:after="160"/>
      </w:pPr>
    </w:p>
    <w:p>
      <w:pPr>
        <w:spacing w:after="160"/>
      </w:pPr>
      <w:r>
        <w:rPr>
          <w:b/>
          <w:bCs/>
        </w:rPr>
        <w:t xml:space="preserve">Sigue pendiente</w:t>
      </w:r>
      <w:r>
        <w:t xml:space="preserve"> (ningún documento revisado da el valor, tras dos pasadas por Service Training): corriente del láser en alta en mA (La_h) — se usa la potencia óptica en mW como criterio alternativo; tensión mínima de la batería CR2025 de la tarjeta PCMCIA; ganancia de canales F/G. El voltaje de la válvula proporcional tiene </w:t>
      </w:r>
      <w:r>
        <w:rPr>
          <w:b/>
          <w:bCs/>
        </w:rPr>
        <w:t xml:space="preserve">dos valores no reconciliados</w:t>
      </w:r>
      <w:r>
        <w:t xml:space="preserve"> entre fuentes (3,7±0,4 V en Service Training vs. 6–7 V en el manual): revisar según generación del equipo antes de tomarlo como criterio de aceptación. Los </w:t>
      </w:r>
      <w:r>
        <w:rPr>
          <w:b/>
          <w:bCs/>
        </w:rPr>
        <w:t xml:space="preserve">fusibles</w:t>
      </w:r>
      <w:r>
        <w:t xml:space="preserve"> mencionados en el manual SER-MAN (pico 2A / 300A-32VDC) no se incorporaron como ítem porque "Service Training NEW" — la fuente más reciente y detallada — no los menciona: discrepancia entre fuentes sin resolver, no un vacío de revisión.</w:t>
      </w:r>
    </w:p>
    <w:p>
      <w:pPr>
        <w:pStyle w:val="Heading2"/>
        <w:spacing w:after="120" w:before="240"/>
      </w:pPr>
      <w:r>
        <w:t xml:space="preserve">4. Ítems que nacen de fallos reales observados</w:t>
      </w:r>
    </w:p>
    <w:p>
      <w:pPr>
        <w:spacing w:after="160"/>
      </w:pPr>
      <w:r>
        <w:t xml:space="preserve">De los informes de campo (v1):</w:t>
      </w:r>
    </w:p>
    <w:p>
      <w:pPr>
        <w:pStyle w:val="ListParagraph"/>
        <w:numPr>
          <w:ilvl w:val="0"/>
          <w:numId w:val="1"/>
        </w:numPr>
        <w:spacing w:after="80"/>
      </w:pPr>
      <w:r>
        <w:rPr>
          <w:b/>
          <w:bCs/>
        </w:rPr>
        <w:t xml:space="preserve">Serial del espectrómetro ≠ serial del monitor</w:t>
      </w:r>
      <w:r>
        <w:t xml:space="preserve"> — un equipo llegó con el espectrómetro de otro (MT_18A19035_260727).</w:t>
      </w:r>
    </w:p>
    <w:p>
      <w:pPr>
        <w:pStyle w:val="ListParagraph"/>
        <w:numPr>
          <w:ilvl w:val="0"/>
          <w:numId w:val="1"/>
        </w:numPr>
        <w:spacing w:after="80"/>
      </w:pPr>
      <w:r>
        <w:rPr>
          <w:b/>
          <w:bCs/>
        </w:rPr>
        <w:t xml:space="preserve">Ausencia del aislante de apantallamiento</w:t>
      </w:r>
      <w:r>
        <w:t xml:space="preserve"> entre tarjeta digital y análoga → ruido electrónico (MT_18A19035_260727).</w:t>
      </w:r>
    </w:p>
    <w:p>
      <w:pPr>
        <w:pStyle w:val="ListParagraph"/>
        <w:numPr>
          <w:ilvl w:val="0"/>
          <w:numId w:val="1"/>
        </w:numPr>
        <w:spacing w:after="80"/>
      </w:pPr>
      <w:r>
        <w:rPr>
          <w:b/>
          <w:bCs/>
        </w:rPr>
        <w:t xml:space="preserve">Sellado provisional con cinta</w:t>
      </w:r>
      <w:r>
        <w:t xml:space="preserve"> del paso tubo–shelter → ingreso de humedad (MT_18A20087_260512).</w:t>
      </w:r>
    </w:p>
    <w:p>
      <w:pPr>
        <w:pStyle w:val="ListParagraph"/>
        <w:numPr>
          <w:ilvl w:val="0"/>
          <w:numId w:val="1"/>
        </w:numPr>
        <w:spacing w:after="80"/>
      </w:pPr>
      <w:r>
        <w:rPr>
          <w:b/>
          <w:bCs/>
        </w:rPr>
        <w:t xml:space="preserve">Ausencia del tornillo de seguridad del cabezal TSP</w:t>
      </w:r>
      <w:r>
        <w:t xml:space="preserve"> (MT_18A20087_260512).</w:t>
      </w:r>
    </w:p>
    <w:p>
      <w:pPr>
        <w:pStyle w:val="ListParagraph"/>
        <w:numPr>
          <w:ilvl w:val="0"/>
          <w:numId w:val="1"/>
        </w:numPr>
        <w:spacing w:after="80"/>
      </w:pPr>
      <w:r>
        <w:rPr>
          <w:b/>
          <w:bCs/>
        </w:rPr>
        <w:t xml:space="preserve">Óxido y corrosión en la cámara de medida</w:t>
      </w:r>
      <w:r>
        <w:t xml:space="preserve"> por humedad en el gabinete (MT_18A18033_260108).</w:t>
      </w:r>
    </w:p>
    <w:p>
      <w:pPr>
        <w:pStyle w:val="ListParagraph"/>
        <w:numPr>
          <w:ilvl w:val="0"/>
          <w:numId w:val="1"/>
        </w:numPr>
        <w:spacing w:after="80"/>
      </w:pPr>
      <w:r>
        <w:rPr>
          <w:b/>
          <w:bCs/>
        </w:rPr>
        <w:t xml:space="preserve">Manómetro de vacío sin lectura</w:t>
      </w:r>
      <w:r>
        <w:t xml:space="preserve">, que impide evaluar la bomba de secado (MT_18A19035_260727 · MT_18A12051_260811).</w:t>
      </w:r>
    </w:p>
    <w:p>
      <w:pPr>
        <w:pStyle w:val="ListParagraph"/>
        <w:numPr>
          <w:ilvl w:val="0"/>
          <w:numId w:val="1"/>
        </w:numPr>
        <w:spacing w:after="80"/>
      </w:pPr>
      <w:r>
        <w:rPr>
          <w:b/>
          <w:bCs/>
        </w:rPr>
        <w:t xml:space="preserve">Equipo recibido sin sensor de T/HR ambiente</w:t>
      </w:r>
      <w:r>
        <w:t xml:space="preserve"> (MT_18A19035_260727).</w:t>
      </w:r>
    </w:p>
    <w:p>
      <w:pPr>
        <w:spacing w:after="80"/>
      </w:pPr>
    </w:p>
    <w:p>
      <w:pPr>
        <w:spacing w:after="160"/>
      </w:pPr>
      <w:r>
        <w:t xml:space="preserve">De los correos de soporte (v2):</w:t>
      </w:r>
    </w:p>
    <w:p>
      <w:pPr>
        <w:pStyle w:val="ListParagraph"/>
        <w:numPr>
          <w:ilvl w:val="0"/>
          <w:numId w:val="1"/>
        </w:numPr>
        <w:spacing w:after="80"/>
      </w:pPr>
      <w:r>
        <w:rPr>
          <w:b/>
          <w:bCs/>
        </w:rPr>
        <w:t xml:space="preserve">Kit de vacío + diodo láser fallados a la vez</w:t>
      </w:r>
      <w:r>
        <w:t xml:space="preserve"> en un mismo caso, más contaminación en la placa análoga como causa concurrente del error de flujo (correo "GRIMM EDM 180 FLOW ERROR", S/N 18A12047).</w:t>
      </w:r>
    </w:p>
    <w:p>
      <w:pPr>
        <w:pStyle w:val="ListParagraph"/>
        <w:numPr>
          <w:ilvl w:val="0"/>
          <w:numId w:val="1"/>
        </w:numPr>
        <w:spacing w:after="80"/>
      </w:pPr>
      <w:r>
        <w:rPr>
          <w:b/>
          <w:bCs/>
        </w:rPr>
        <w:t xml:space="preserve">Reloj interno inestable</w:t>
      </w:r>
      <w:r>
        <w:t xml:space="preserve"> por el chip PCF8583F, el capacitor ajustable o el cristal oscilador — reincide incluso tras cambiar el chip (correo "Date and hour problem", SN 18A18103).</w:t>
      </w:r>
    </w:p>
    <w:p>
      <w:pPr>
        <w:pStyle w:val="ListParagraph"/>
        <w:numPr>
          <w:ilvl w:val="0"/>
          <w:numId w:val="1"/>
        </w:numPr>
        <w:spacing w:after="80"/>
      </w:pPr>
      <w:r>
        <w:rPr>
          <w:b/>
          <w:bCs/>
        </w:rPr>
        <w:t xml:space="preserve">CO_h/CO_d anormalmente altos</w:t>
      </w:r>
      <w:r>
        <w:t xml:space="preserve"> con filtro cero puesto → corrosión o daño en el fotodiodo/preamplificador, reparable solo en fábrica (correo "EDM180C fault", dic-2021).</w:t>
      </w:r>
    </w:p>
    <w:p>
      <w:pPr>
        <w:pStyle w:val="ListParagraph"/>
        <w:numPr>
          <w:ilvl w:val="0"/>
          <w:numId w:val="1"/>
        </w:numPr>
        <w:spacing w:after="80"/>
      </w:pPr>
      <w:r>
        <w:rPr>
          <w:b/>
          <w:bCs/>
        </w:rPr>
        <w:t xml:space="preserve">Sensor de presión atmosférica saturado</w:t>
      </w:r>
      <w:r>
        <w:t xml:space="preserve"> (salida cercana a 10 V) tras cambio de tarjeta, resuelto recalibrando factor/offset por software (correo "GRIMM Flow Error", S/N 18A12047).</w:t>
      </w:r>
    </w:p>
    <w:p>
      <w:pPr>
        <w:spacing w:after="80"/>
      </w:pPr>
    </w:p>
    <w:p>
      <w:pPr>
        <w:pStyle w:val="Heading2"/>
        <w:spacing w:after="120" w:before="240"/>
      </w:pPr>
      <w:r>
        <w:t xml:space="preserve">5. Veredicto sobre Excel (actualizado v6)</w:t>
      </w:r>
    </w:p>
    <w:p>
      <w:pPr>
        <w:spacing w:after="160"/>
      </w:pPr>
      <w:r>
        <w:rPr>
          <w:b/>
          <w:bCs/>
        </w:rPr>
        <w:t xml:space="preserve">Sí sigue siendo viable</w:t>
      </w:r>
      <w:r>
        <w:t xml:space="preserve">, ahora con una arquitectura más simple de dos hojas de trabajo: </w:t>
      </w:r>
      <w:r>
        <w:rPr>
          <w:rFonts w:ascii="Consolas" w:cs="Consolas" w:eastAsia="Consolas" w:hAnsi="Consolas"/>
        </w:rPr>
        <w:t xml:space="preserve">Inspección</w:t>
      </w:r>
      <w:r>
        <w:t xml:space="preserve"> — tabla única que es a la vez catálogo maestro (columnas A-P, incluida F «Cómo se verifica», M «Criterio de falla» —nueva en v6— y O «Repuesto/parte asociada», enriquecida en v5 con 100 SKUs de Zoho Books) y captura de visita (columnas Q-U) — y </w:t>
      </w:r>
      <w:r>
        <w:rPr>
          <w:rFonts w:ascii="Consolas" w:cs="Consolas" w:eastAsia="Consolas" w:hAnsi="Consolas"/>
        </w:rPr>
        <w:t xml:space="preserve">Resumen</w:t>
      </w:r>
      <w:r>
        <w:t xml:space="preserve"> (conformidad por N1 con </w:t>
      </w:r>
      <w:r>
        <w:rPr>
          <w:rFonts w:ascii="Consolas" w:cs="Consolas" w:eastAsia="Consolas" w:hAnsi="Consolas"/>
        </w:rPr>
        <w:t xml:space="preserve">COUNTIFS</w:t>
      </w:r>
      <w:r>
        <w:t xml:space="preserve">, más la nueva tabla de conteo por Criterio de falla), más </w:t>
      </w:r>
      <w:r>
        <w:rPr>
          <w:rFonts w:ascii="Consolas" w:cs="Consolas" w:eastAsia="Consolas" w:hAnsi="Consolas"/>
        </w:rPr>
        <w:t xml:space="preserve">Instrucciones</w:t>
      </w:r>
      <w:r>
        <w:t xml:space="preserve"> y </w:t>
      </w:r>
      <w:r>
        <w:rPr>
          <w:rFonts w:ascii="Consolas" w:cs="Consolas" w:eastAsia="Consolas" w:hAnsi="Consolas"/>
        </w:rPr>
        <w:t xml:space="preserve">Listas</w:t>
      </w:r>
      <w:r>
        <w:t xml:space="preserve"> como apoyo. El libro v6 tiene 183 fórmulas y recalcula sin errores.</w:t>
      </w:r>
    </w:p>
    <w:p>
      <w:pPr>
        <w:spacing w:after="160"/>
      </w:pPr>
      <w:r>
        <w:rPr>
          <w:b/>
          <w:bCs/>
        </w:rPr>
        <w:t xml:space="preserve">Límites que Excel no resuelve y sí justifican llevarlo a Desk 2.0:</w:t>
      </w:r>
      <w:r>
        <w:t xml:space="preserve"> evidencia fotográfica fuera del archivo, histórico disperso en un archivo por visita (la consolidación en una sola hoja hace más simple diligenciar, pero no resuelve el versionado entre visitas — hay que duplicar la hoja a mano), catálogo sin versionado, sin captura offline en estación, salto ítem→repuesto manual, sin firma ni control de edición.</w:t>
      </w:r>
    </w:p>
    <w:p>
      <w:pPr>
        <w:spacing w:after="160"/>
      </w:pPr>
      <w:r>
        <w:rPr>
          <w:b/>
          <w:bCs/>
        </w:rPr>
        <w:t xml:space="preserve">Recomendación:</w:t>
      </w:r>
      <w:r>
        <w:t xml:space="preserve"> pilotear el Excel en 2–3 servicios reales para validar cobertura y cerrar los límites que siguen pendientes (corriente láser en mA, batería CR2025, voltaje de válvula proporcional, ganancia canales F/G, fusibles), y adoptar el catálogo depurado como modelo de datos de la fase de inspección en Desk 2.0. Reutilizable para los Horiba (APNA/APMA/APOA/APSA-370) cambiando N2/N3.</w:t>
      </w:r>
    </w:p>
    <w:p>
      <w:pPr>
        <w:pBdr>
          <w:bottom w:val="single" w:color="BFBFBF" w:sz="6" w:space="1"/>
        </w:pBdr>
        <w:spacing w:after="200"/>
      </w:pPr>
    </w:p>
    <w:p>
      <w:pPr>
        <w:spacing w:after="160"/>
      </w:pPr>
      <w:r>
        <w:rPr>
          <w:i/>
          <w:iCs/>
        </w:rPr>
        <w:t xml:space="preserve">Relacionado: eje ② (análisis) del marco de tres ejes de Desk 2.0; checklists de verificación de los contratos de mantenimiento.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pPr>
    <w:rPr>
      <w:rFonts w:ascii="Arial" w:cs="Arial" w:eastAsia="Arial" w:hAnsi="Arial"/>
      <w:b/>
      <w:bCs/>
      <w:color w:val="1F3864"/>
      <w:sz w:val="30"/>
      <w:szCs w:val="30"/>
    </w:rPr>
  </w:style>
  <w:style w:type="paragraph" w:styleId="Heading2">
    <w:name w:val="Heading 2"/>
    <w:basedOn w:val="Normal"/>
    <w:next w:val="Normal"/>
    <w:pPr>
      <w:spacing w:after="140" w:before="280"/>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2026-09-03T17:11:45.439Z</dcterms:created>
  <dcterms:modified xsi:type="dcterms:W3CDTF">2026-09-03T17:11:45.439Z</dcterms:modified>
</cp:coreProperties>
</file>

<file path=docProps/custom.xml><?xml version="1.0" encoding="utf-8"?>
<Properties xmlns="http://schemas.openxmlformats.org/officeDocument/2006/custom-properties" xmlns:vt="http://schemas.openxmlformats.org/officeDocument/2006/docPropsVTypes"/>
</file>