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5601534d19ae70c9de9695b0d3a8d89bcfe920"/>
    <w:p>
      <w:pPr>
        <w:pStyle w:val="Heading1"/>
      </w:pPr>
      <w:r>
        <w:t xml:space="preserve">Qué se nos está escapando respecto del maestro R08.2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2026-09-17 ·</w:t>
      </w:r>
      <w:r>
        <w:t xml:space="preserve"> </w:t>
      </w:r>
      <w:r>
        <w:rPr>
          <w:bCs/>
          <w:b/>
        </w:rPr>
        <w:t xml:space="preserve">Contra qué se midió:</w:t>
      </w:r>
      <w:r>
        <w:t xml:space="preserve"> </w:t>
      </w:r>
      <w:r>
        <w:t xml:space="preserve">maestro R08.2 (Anexo D completo, M1.3.4, M1.6b, glosario), plan</w:t>
      </w:r>
      <w:r>
        <w:t xml:space="preserve"> </w:t>
      </w:r>
      <w:r>
        <w:rPr>
          <w:rStyle w:val="VerbatimChar"/>
        </w:rPr>
        <w:t xml:space="preserve">Desk2.0_Plan_Fases_y_Tandas_ClaudeCode_R01.1.md</w:t>
      </w:r>
      <w:r>
        <w:t xml:space="preserve"> </w:t>
      </w:r>
      <w:r>
        <w:t xml:space="preserve">en su estado de hoy (51 tandas en 44 filas, tabla de gates de §4.5 ya sincronizada con el libro R01.3),</w:t>
      </w:r>
      <w:r>
        <w:t xml:space="preserve"> </w:t>
      </w:r>
      <w:r>
        <w:rPr>
          <w:rStyle w:val="VerbatimChar"/>
        </w:rPr>
        <w:t xml:space="preserve">openspec/config.yaml</w:t>
      </w:r>
      <w:r>
        <w:t xml:space="preserve"> </w:t>
      </w:r>
      <w:r>
        <w:t xml:space="preserve">(capacidades, IV-1…IV-12, PF-1), los nueve</w:t>
      </w:r>
      <w:r>
        <w:t xml:space="preserve"> </w:t>
      </w:r>
      <w:r>
        <w:rPr>
          <w:rStyle w:val="VerbatimChar"/>
        </w:rPr>
        <w:t xml:space="preserve">openspec/specs/*/spec.md</w:t>
      </w:r>
      <w:r>
        <w:t xml:space="preserve"> </w:t>
      </w:r>
      <w:r>
        <w:t xml:space="preserve">y los ocho cambios archivados.</w:t>
      </w:r>
    </w:p>
    <w:p>
      <w:pPr>
        <w:pStyle w:val="BodyText"/>
      </w:pPr>
      <w:r>
        <w:rPr>
          <w:bCs/>
          <w:b/>
        </w:rPr>
        <w:t xml:space="preserve">Lo que este documento NO repite.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R08.3_Expediente_de_cambios.md</w:t>
      </w:r>
      <w:r>
        <w:t xml:space="preserve"> </w:t>
      </w:r>
      <w:r>
        <w:t xml:space="preserve">ya cubre, y bien, la dirección repositorio → maestro: as-built que la R08.2 no refleja (C11, C9, F1B-01, F1B-08 parcial,</w:t>
      </w:r>
      <w:r>
        <w:t xml:space="preserve"> </w:t>
      </w:r>
      <w:r>
        <w:rPr>
          <w:rStyle w:val="VerbatimChar"/>
        </w:rPr>
        <w:t xml:space="preserve">por-entregar-es-espera</w:t>
      </w:r>
      <w:r>
        <w:t xml:space="preserve"> </w:t>
      </w:r>
      <w:r>
        <w:t xml:space="preserve">construido y sin desplegar), decisiones de Gerencia que el maestro aún no contiene, erratas de cita, avance con denominador fechado y el versionado del libro. Nada de eso se vuelve a listar aquí.</w:t>
      </w:r>
      <w:r>
        <w:t xml:space="preserve"> </w:t>
      </w:r>
      <w:r>
        <w:rPr>
          <w:bCs/>
          <w:b/>
        </w:rPr>
        <w:t xml:space="preserve">Este informe va en la dirección contraria —maestro → plan → repositorio— y en los tres sitios donde las tres listas no se reconcilian entre sí.</w:t>
      </w:r>
      <w:r>
        <w:t xml:space="preserve"> </w:t>
      </w:r>
      <w:r>
        <w:t xml:space="preserve">Esa dirección no la hace ningún documento vivo.</w:t>
      </w:r>
    </w:p>
    <w:p>
      <w:r>
        <w:pict>
          <v:rect style="width:0;height:1.5pt" o:hralign="center" o:hrstd="t" o:hr="t"/>
        </w:pict>
      </w:r>
    </w:p>
    <w:bookmarkStart w:id="20" w:name="el-resumen-si-sólo-se-leen-diez-líneas"/>
    <w:p>
      <w:pPr>
        <w:pStyle w:val="Heading2"/>
      </w:pPr>
      <w:r>
        <w:t xml:space="preserve">1 · El resumen, si sólo se leen diez líneas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necesita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 en sitio (nº 43): la premisa de que el plan lo contempla es falsa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se decidió el 10/09 apoyándose en 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de alcance (Alfonso / Gustavo)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catalogo-equipos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es capacidad declarada y no tiene ni una fila en el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354 equipos ya sembrados, sin dueño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tanda o declarar que vive dentro de F1D-01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F1A-08 está construido y el plan no lo sabe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— el numerador del avance está mal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Dictamen: ¿</w:t>
            </w:r>
            <w:r>
              <w:rPr>
                <w:rStyle w:val="VerbatimChar"/>
              </w:rPr>
              <w:t xml:space="preserve">tercera-puerta-orden-venta</w:t>
            </w:r>
            <w:r>
              <w:t xml:space="preserve"> </w:t>
            </w:r>
            <w:r>
              <w:rPr>
                <w:bCs/>
                <w:b/>
              </w:rPr>
              <w:t xml:space="preserve">es</w:t>
            </w:r>
            <w:r>
              <w:t xml:space="preserve"> </w:t>
            </w:r>
            <w:r>
              <w:t xml:space="preserve">F1A-08?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 specs vivas fuera de las dos listas: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citas-verificables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vistas-tablero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— el preflight de cada sesión no las 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Declararlas en</w:t>
            </w:r>
            <w:r>
              <w:t xml:space="preserve"> </w:t>
            </w:r>
            <w:r>
              <w:rPr>
                <w:rStyle w:val="VerbatimChar"/>
              </w:rPr>
              <w:t xml:space="preserve">config.yaml →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Ocho de las quince capacidades no tienen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— es deuda conocida, pero sin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Fijar en qué tanda nace cada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«Estado de espera»: el código declara dos registros y el maestro sólo 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Baja-media —</w:t>
            </w:r>
            <w:r>
              <w:t xml:space="preserve"> </w:t>
            </w:r>
            <w:r>
              <w:rPr>
                <w:iCs/>
                <w:i/>
              </w:rPr>
              <w:t xml:space="preserve">corregido el 17/09: C3 está bien dimensionado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Llevarlo a la R08.4 · C7 sigue necesitando su propia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Ocho puntos del Anexo D de Fase 1 sin tanda y sin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Triaje: 3, 7, 9, 43, 47, 53, 56, 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IV-11 puede deshacer en silencio la puerta que se construyó el 16/09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es un par, no dos desvíos sueltos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 (a) o (b) de IV-11 antes de dar IV-4 por cerrado en producción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los-huecos-uno-a-uno"/>
    <w:p>
      <w:pPr>
        <w:pStyle w:val="Heading2"/>
      </w:pPr>
      <w:r>
        <w:t xml:space="preserve">2 · Los huecos, uno a uno</w:t>
      </w:r>
    </w:p>
    <w:bookmarkStart w:id="21" w:name="X6803cd633cd9c74721bc87e1d217d9e7feb37c3"/>
    <w:p>
      <w:pPr>
        <w:pStyle w:val="Heading3"/>
      </w:pPr>
      <w:r>
        <w:t xml:space="preserve">2.1 · Servicio en sitio — la premisa falsa que sostuvo una decisión</w:t>
      </w:r>
    </w:p>
    <w:p>
      <w:pPr>
        <w:pStyle w:val="FirstParagraph"/>
      </w:pPr>
      <w:r>
        <w:t xml:space="preserve">El 10/09, al cerrar «</w:t>
      </w:r>
      <w:r>
        <w:rPr>
          <w:rStyle w:val="VerbatimChar"/>
        </w:rPr>
        <w:t xml:space="preserve">Habilitar Servicio</w:t>
      </w:r>
      <w:r>
        <w:t xml:space="preserve"> </w:t>
      </w:r>
      <w:r>
        <w:t xml:space="preserve">nunca sin remisión», la salida que se dio al servicio en sitio fue</w:t>
      </w:r>
      <w:r>
        <w:t xml:space="preserve"> </w:t>
      </w:r>
      <w:r>
        <w:rPr>
          <w:iCs/>
          <w:i/>
        </w:rPr>
        <w:t xml:space="preserve">«para servicio en sitio creo que en el plan hay descrito la necesidad de crear un nuevo flujo de trabajo para este tipo de servicios»</w:t>
      </w:r>
      <w:r>
        <w:t xml:space="preserve">.</w:t>
      </w:r>
      <w:r>
        <w:t xml:space="preserve"> </w:t>
      </w:r>
      <w:r>
        <w:rPr>
          <w:bCs/>
          <w:b/>
        </w:rPr>
        <w:t xml:space="preserve">No lo hay.</w:t>
      </w:r>
      <w:r>
        <w:t xml:space="preserve"> </w:t>
      </w:r>
      <w:r>
        <w:rPr>
          <w:rStyle w:val="VerbatimChar"/>
        </w:rPr>
        <w:t xml:space="preserve">grep -ci "en sitio"</w:t>
      </w:r>
      <w:r>
        <w:t xml:space="preserve"> </w:t>
      </w:r>
      <w:r>
        <w:t xml:space="preserve">sobre el plan devuelve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BodyText"/>
      </w:pPr>
      <w:r>
        <w:t xml:space="preserve">Y el maestro dice lo contrario de lo que esa salida supone. M1.6b, nota del revisor [R08]:</w:t>
      </w:r>
      <w:r>
        <w:t xml:space="preserve"> </w:t>
      </w:r>
      <w:r>
        <w:rPr>
          <w:iCs/>
          <w:i/>
        </w:rPr>
        <w:t xml:space="preserve">«Hoy no está en el alcance y no hay mapeo as-is de él —no se presta formalmente—, así que entra como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línea a explorar, no como flujo a construir</w:t>
      </w:r>
      <w:r>
        <w:rPr>
          <w:iCs/>
          <w:i/>
        </w:rPr>
        <w:t xml:space="preserve">»</w:t>
      </w:r>
      <w:r>
        <w:t xml:space="preserve">. Punto abierto</w:t>
      </w:r>
      <w:r>
        <w:t xml:space="preserve"> </w:t>
      </w:r>
      <w:r>
        <w:rPr>
          <w:bCs/>
          <w:b/>
        </w:rPr>
        <w:t xml:space="preserve">nº 43</w:t>
      </w:r>
      <w:r>
        <w:t xml:space="preserve">, decide Alfonso / Gustavo.</w:t>
      </w:r>
    </w:p>
    <w:p>
      <w:pPr>
        <w:pStyle w:val="BodyText"/>
      </w:pPr>
      <w:r>
        <w:rPr>
          <w:bCs/>
          <w:b/>
        </w:rPr>
        <w:t xml:space="preserve">Por qué importa y no es una nota de pie.</w:t>
      </w:r>
      <w:r>
        <w:t xml:space="preserve"> </w:t>
      </w:r>
      <w:r>
        <w:t xml:space="preserve">La guarda de</w:t>
      </w:r>
      <w:r>
        <w:t xml:space="preserve"> </w:t>
      </w:r>
      <w:r>
        <w:rPr>
          <w:rStyle w:val="VerbatimChar"/>
        </w:rPr>
        <w:t xml:space="preserve">habilitar-servicio-sin-remision</w:t>
      </w:r>
      <w:r>
        <w:t xml:space="preserve"> </w:t>
      </w:r>
      <w:r>
        <w:t xml:space="preserve">se aprobó para los</w:t>
      </w:r>
      <w:r>
        <w:t xml:space="preserve"> </w:t>
      </w:r>
      <w:r>
        <w:rPr>
          <w:bCs/>
          <w:b/>
        </w:rPr>
        <w:t xml:space="preserve">tres</w:t>
      </w:r>
      <w:r>
        <w:t xml:space="preserve"> </w:t>
      </w:r>
      <w:r>
        <w:t xml:space="preserve">orígenes, sin excepción, porque la excepción —el servicio en sitio, donde no hay equipo que remisionar— se mandó a un flujo que no existe, no está planificado y el maestro deja fuera de alcance. Si llega un servicio en sitio antes de que exista esa cuarta rama, el sistema no tendrá ni la excepción ni el flujo.</w:t>
      </w:r>
    </w:p>
    <w:p>
      <w:pPr>
        <w:pStyle w:val="BodyText"/>
      </w:pPr>
      <w:r>
        <w:rPr>
          <w:bCs/>
          <w:b/>
        </w:rPr>
        <w:t xml:space="preserve">Esto es una premisa falsa en el sentido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premisas_falsas_corregidas</w:t>
      </w:r>
      <w:r>
        <w:rPr>
          <w:bCs/>
          <w:b/>
        </w:rPr>
        <w:t xml:space="preserve">, y debería registrarse como PF-2</w:t>
      </w:r>
      <w:r>
        <w:t xml:space="preserve">, al lado de PF-1. Con su corrección:</w:t>
      </w:r>
      <w:r>
        <w:t xml:space="preserve"> </w:t>
      </w:r>
      <w:r>
        <w:rPr>
          <w:iCs/>
          <w:i/>
        </w:rPr>
        <w:t xml:space="preserve">la cuarta rama no está en el plan; hasta que nº 43 se decida, el servicio en sitio no tiene ruta en Desk 2.0 y la guarda de remisión no admite excepción por ese motivo.</w:t>
      </w:r>
    </w:p>
    <w:bookmarkEnd w:id="21"/>
    <w:bookmarkStart w:id="22" w:name="Xd64667edefe6ba0fd24c19dc06d544cdfe957e1"/>
    <w:p>
      <w:pPr>
        <w:pStyle w:val="Heading3"/>
      </w:pPr>
      <w:r>
        <w:t xml:space="preserve">2.2 ·</w:t>
      </w:r>
      <w:r>
        <w:t xml:space="preserve"> </w:t>
      </w:r>
      <w:r>
        <w:rPr>
          <w:rStyle w:val="VerbatimChar"/>
        </w:rPr>
        <w:t xml:space="preserve">catalogo-equipos</w:t>
      </w:r>
      <w:r>
        <w:t xml:space="preserve"> </w:t>
      </w:r>
      <w:r>
        <w:t xml:space="preserve">— capacidad declarada, cero filas</w:t>
      </w:r>
    </w:p>
    <w:p>
      <w:pPr>
        <w:pStyle w:val="FirstParagraph"/>
      </w:pPr>
      <w:r>
        <w:rPr>
          <w:rStyle w:val="VerbatimChar"/>
        </w:rPr>
        <w:t xml:space="preserve">openspec/config.yaml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catalogo-equipos</w:t>
      </w:r>
      <w:r>
        <w:t xml:space="preserve"> </w:t>
      </w:r>
      <w:r>
        <w:t xml:space="preserve">como capacidad propia —«#15 de la lista»,</w:t>
      </w:r>
      <w:r>
        <w:t xml:space="preserve"> </w:t>
      </w:r>
      <w:r>
        <w:rPr>
          <w:bCs/>
          <w:b/>
        </w:rPr>
        <w:t xml:space="preserve">separada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diagnostico-checklist</w:t>
      </w:r>
      <w:r>
        <w:rPr>
          <w:bCs/>
          <w:b/>
        </w:rPr>
        <w:t xml:space="preserve"> </w:t>
      </w:r>
      <w:r>
        <w:rPr>
          <w:bCs/>
          <w:b/>
        </w:rPr>
        <w:t xml:space="preserve">por decisión de Gerencia</w:t>
      </w:r>
      <w:r>
        <w:t xml:space="preserve"> </w:t>
      </w:r>
      <w:r>
        <w:t xml:space="preserve">(obs. #236, F0-00)— y anota que ya está sembrada: 26 tipos, 6 marcas, 35 modelos,</w:t>
      </w:r>
      <w:r>
        <w:t xml:space="preserve"> </w:t>
      </w:r>
      <w:r>
        <w:rPr>
          <w:bCs/>
          <w:b/>
        </w:rPr>
        <w:t xml:space="preserve">354 equipos</w:t>
      </w:r>
      <w:r>
        <w:t xml:space="preserve">, 0 conflictos.</w:t>
      </w:r>
    </w:p>
    <w:p>
      <w:pPr>
        <w:pStyle w:val="BodyText"/>
      </w:pPr>
      <w:r>
        <w:rPr>
          <w:rStyle w:val="VerbatimChar"/>
        </w:rPr>
        <w:t xml:space="preserve">grep -ci "catalogo-equipos"</w:t>
      </w:r>
      <w:r>
        <w:t xml:space="preserve"> </w:t>
      </w:r>
      <w:r>
        <w:t xml:space="preserve">sobre el plan devuelve</w:t>
      </w:r>
      <w:r>
        <w:t xml:space="preserve"> </w:t>
      </w:r>
      <w:r>
        <w:rPr>
          <w:bCs/>
          <w:b/>
        </w:rPr>
        <w:t xml:space="preserve">0</w:t>
      </w:r>
      <w:r>
        <w:t xml:space="preserve">. No hay tanda, no hay gate, no hay spec.</w:t>
      </w:r>
    </w:p>
    <w:p>
      <w:pPr>
        <w:pStyle w:val="BodyText"/>
      </w:pPr>
      <w:r>
        <w:t xml:space="preserve">La confusión es previsible: F1D-01 se llama «Modelo de datos del catálogo», pero su capacidad declarada es</w:t>
      </w:r>
      <w:r>
        <w:t xml:space="preserve"> </w:t>
      </w:r>
      <w:r>
        <w:rPr>
          <w:rStyle w:val="VerbatimChar"/>
        </w:rPr>
        <w:t xml:space="preserve">diagnostico-checklist</w:t>
      </w:r>
      <w:r>
        <w:t xml:space="preserve"> </w:t>
      </w:r>
      <w:r>
        <w:t xml:space="preserve">y el propio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avisa de que el «catálogo» de esa capacidad</w:t>
      </w:r>
      <w:r>
        <w:t xml:space="preserve"> </w:t>
      </w:r>
      <w:r>
        <w:rPr>
          <w:bCs/>
          <w:b/>
        </w:rPr>
        <w:t xml:space="preserve">se renombró a «árbol de inspección» para no confundirse con éste</w:t>
      </w:r>
      <w:r>
        <w:t xml:space="preserve">. Es decir: el fichero ya previó el error y el plan lo cometió igualmente, por omisión.</w:t>
      </w:r>
    </w:p>
    <w:p>
      <w:pPr>
        <w:pStyle w:val="BodyText"/>
      </w:pPr>
      <w:r>
        <w:t xml:space="preserve">Y hay dependencia declarada:</w:t>
      </w:r>
      <w:r>
        <w:t xml:space="preserve"> </w:t>
      </w:r>
      <w:r>
        <w:rPr>
          <w:rStyle w:val="VerbatimChar"/>
        </w:rPr>
        <w:t xml:space="preserve">diagnostico-checklist depends_on: [catalogo-equipos]</w:t>
      </w:r>
      <w:r>
        <w:t xml:space="preserve">, porque el árbol se parametriza por marca-modelo.</w:t>
      </w:r>
      <w:r>
        <w:t xml:space="preserve"> </w:t>
      </w:r>
      <w:r>
        <w:rPr>
          <w:bCs/>
          <w:b/>
        </w:rPr>
        <w:t xml:space="preserve">Toda la épica F1D cuelga de una capacidad que no tiene fila.</w:t>
      </w:r>
    </w:p>
    <w:bookmarkEnd w:id="22"/>
    <w:bookmarkStart w:id="23" w:name="Xc1150887f081e9f4043babaad310c38e8079f73"/>
    <w:p>
      <w:pPr>
        <w:pStyle w:val="Heading3"/>
      </w:pPr>
      <w:r>
        <w:t xml:space="preserve">2.3 · F1A-08 está hecho, y ni el plan ni el avance lo registran</w:t>
      </w:r>
    </w:p>
    <w:p>
      <w:pPr>
        <w:pStyle w:val="FirstParagraph"/>
      </w:pPr>
      <w:r>
        <w:rPr>
          <w:rStyle w:val="VerbatimChar"/>
        </w:rPr>
        <w:t xml:space="preserve">openspec/changes/archive/2026-09-17-tercera-puerta-orden-venta/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verify_verdict: pass</w:t>
      </w:r>
      <w:r>
        <w:t xml:space="preserve">, 4/4 escenarios, 28/28 tareas,</w:t>
      </w:r>
      <w:r>
        <w:t xml:space="preserve"> </w:t>
      </w:r>
      <w:r>
        <w:rPr>
          <w:rStyle w:val="VerbatimChar"/>
        </w:rPr>
        <w:t xml:space="preserve">RQ-RE-16</w:t>
      </w:r>
      <w:r>
        <w:t xml:space="preserve"> </w:t>
      </w:r>
      <w:r>
        <w:t xml:space="preserve">fusionado en</w:t>
      </w:r>
      <w:r>
        <w:t xml:space="preserve"> </w:t>
      </w:r>
      <w:r>
        <w:rPr>
          <w:rStyle w:val="VerbatimChar"/>
        </w:rPr>
        <w:t xml:space="preserve">specs/remisiones/spec.md</w:t>
      </w:r>
      <w:r>
        <w:t xml:space="preserve">, construcción en</w:t>
      </w:r>
      <w:r>
        <w:t xml:space="preserve"> </w:t>
      </w:r>
      <w:r>
        <w:rPr>
          <w:rStyle w:val="VerbatimChar"/>
        </w:rPr>
        <w:t xml:space="preserve">79cf09b</w:t>
      </w:r>
      <w:r>
        <w:t xml:space="preserve">. Cierra</w:t>
      </w:r>
      <w:r>
        <w:t xml:space="preserve"> </w:t>
      </w:r>
      <w:r>
        <w:rPr>
          <w:bCs/>
          <w:b/>
        </w:rPr>
        <w:t xml:space="preserve">IV-4</w:t>
      </w:r>
      <w:r>
        <w:t xml:space="preserve">.</w:t>
      </w:r>
    </w:p>
    <w:p>
      <w:pPr>
        <w:pStyle w:val="BodyText"/>
      </w:pPr>
      <w:r>
        <w:t xml:space="preserve">El plan §5 dice:</w:t>
      </w:r>
      <w:r>
        <w:t xml:space="preserve"> </w:t>
      </w:r>
      <w:r>
        <w:rPr>
          <w:rStyle w:val="VerbatimChar"/>
        </w:rPr>
        <w:t xml:space="preserve">F1A-08 | IV-4 · Tercera puerta de la asociación OV ↔ ticket | remisiones, tickets-core | S | S38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 el mismo trabajo, con dos nombres.</w:t>
      </w:r>
      <w:r>
        <w:t xml:space="preserve"> </w:t>
      </w:r>
      <w:r>
        <w:t xml:space="preserve">El cambio no lleva el ID de la tanda en ninguna parte, así que:</w:t>
      </w:r>
    </w:p>
    <w:p>
      <w:pPr>
        <w:numPr>
          <w:ilvl w:val="0"/>
          <w:numId w:val="1001"/>
        </w:numPr>
        <w:pStyle w:val="Compact"/>
      </w:pPr>
      <w:r>
        <w:t xml:space="preserve">el §8.1 del R08.3 lo listará como «trabajo fuera del §5 del plan, sin fila propia» —que es lo que se hizo con los otros siete— cuando aquí</w:t>
      </w:r>
      <w:r>
        <w:t xml:space="preserve"> </w:t>
      </w:r>
      <w:r>
        <w:rPr>
          <w:bCs/>
          <w:b/>
        </w:rPr>
        <w:t xml:space="preserve">sí hay fila propia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el avance sigue en</w:t>
      </w:r>
      <w:r>
        <w:t xml:space="preserve"> </w:t>
      </w:r>
      <w:r>
        <w:rPr>
          <w:bCs/>
          <w:b/>
        </w:rPr>
        <w:t xml:space="preserve">10 / 51</w:t>
      </w:r>
      <w:r>
        <w:t xml:space="preserve">, cuando debería ser</w:t>
      </w:r>
      <w:r>
        <w:t xml:space="preserve"> </w:t>
      </w:r>
      <w:r>
        <w:rPr>
          <w:bCs/>
          <w:b/>
        </w:rPr>
        <w:t xml:space="preserve">11 / 51</w:t>
      </w:r>
      <w:r>
        <w:t xml:space="preserve"> </w:t>
      </w:r>
      <w:r>
        <w:t xml:space="preserve">(peso 19/107 en lugar de 18/107);</w:t>
      </w:r>
    </w:p>
    <w:p>
      <w:pPr>
        <w:numPr>
          <w:ilvl w:val="0"/>
          <w:numId w:val="1001"/>
        </w:numPr>
        <w:pStyle w:val="Compact"/>
      </w:pPr>
      <w:r>
        <w:t xml:space="preserve">F1A-08 seguirá figurando entre las «nueve tandas sin código».</w:t>
      </w:r>
    </w:p>
    <w:p>
      <w:pPr>
        <w:pStyle w:val="FirstParagraph"/>
      </w:pPr>
      <w:r>
        <w:t xml:space="preserve">Esto no lo arreglo yo: es un dictamen de Gerencia sobre si un cambio que hace el contenido de una tanda</w:t>
      </w:r>
      <w:r>
        <w:t xml:space="preserve"> </w:t>
      </w:r>
      <w:r>
        <w:rPr>
          <w:bCs/>
          <w:b/>
        </w:rPr>
        <w:t xml:space="preserve">cuenta como esa tanda</w:t>
      </w:r>
      <w:r>
        <w:t xml:space="preserve">. Pero si la respuesta es sí —y no veo con qué criterio sería no—, hay que escribirla, porque es el primer caso y va a repetirse:</w:t>
      </w:r>
      <w:r>
        <w:t xml:space="preserve"> </w:t>
      </w:r>
      <w:r>
        <w:rPr>
          <w:rStyle w:val="VerbatimChar"/>
        </w:rPr>
        <w:t xml:space="preserve">orden-precedencia-guardas</w:t>
      </w:r>
      <w:r>
        <w:t xml:space="preserve"> </w:t>
      </w:r>
      <w:r>
        <w:t xml:space="preserve">es F1B-10 con el mismo patrón, y está en curso.</w:t>
      </w:r>
    </w:p>
    <w:p>
      <w:pPr>
        <w:pStyle w:val="BodyText"/>
      </w:pPr>
      <w:r>
        <w:rPr>
          <w:bCs/>
          <w:b/>
        </w:rPr>
        <w:t xml:space="preserve">Regla que propongo, de una línea:</w:t>
      </w:r>
      <w:r>
        <w:t xml:space="preserve"> </w:t>
      </w:r>
      <w:r>
        <w:rPr>
          <w:iCs/>
          <w:i/>
        </w:rPr>
        <w:t xml:space="preserve">todo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openspec/changes/&lt;nombre&gt;</w:t>
      </w:r>
      <w:r>
        <w:rPr>
          <w:iCs/>
          <w:i/>
        </w:rPr>
        <w:t xml:space="preserve"> </w:t>
      </w:r>
      <w:r>
        <w:rPr>
          <w:iCs/>
          <w:i/>
        </w:rPr>
        <w:t xml:space="preserve">que realice el contenido de una fila del §5 escribe el ID de esa tanda en su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proposal.md</w:t>
      </w:r>
      <w:r>
        <w:rPr>
          <w:iCs/>
          <w:i/>
        </w:rPr>
        <w:t xml:space="preserve">; el archivo sin ID es trabajo fuera del denominador.</w:t>
      </w:r>
    </w:p>
    <w:bookmarkEnd w:id="23"/>
    <w:bookmarkStart w:id="24" w:name="X3bc161e8979f617e59e7d3591320eaafd100709"/>
    <w:p>
      <w:pPr>
        <w:pStyle w:val="Heading3"/>
      </w:pPr>
      <w:r>
        <w:t xml:space="preserve">2.4 · Dos capacidades vivas que ninguna de las dos listas declara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 en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</w:t>
            </w:r>
            <w:r>
              <w:t xml:space="preserve"> </w:t>
            </w:r>
            <w:r>
              <w:rPr>
                <w:rStyle w:val="VerbatimChar"/>
              </w:rPr>
              <w:t xml:space="preserve">config.yaml → capabilities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el plan?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openspec/specs/citas-verificables/spec.md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openspec/specs/vistas-tablero/spec.md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citas-verificables</w:t>
      </w:r>
      <w:r>
        <w:t xml:space="preserve"> </w:t>
      </w:r>
      <w:r>
        <w:t xml:space="preserve">no es un detalle: tiene spec propia,</w:t>
      </w:r>
      <w:r>
        <w:t xml:space="preserve"> </w:t>
      </w:r>
      <w:r>
        <w:rPr>
          <w:bCs/>
          <w:b/>
        </w:rPr>
        <w:t xml:space="preserve">tres cambios archivados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hook-citas-pre-push</w:t>
      </w:r>
      <w:r>
        <w:t xml:space="preserve"> </w:t>
      </w:r>
      <w:r>
        <w:t xml:space="preserve">15/09,</w:t>
      </w:r>
      <w:r>
        <w:t xml:space="preserve"> </w:t>
      </w:r>
      <w:r>
        <w:rPr>
          <w:rStyle w:val="VerbatimChar"/>
        </w:rPr>
        <w:t xml:space="preserve">detector-citas-extremos</w:t>
      </w:r>
      <w:r>
        <w:t xml:space="preserve"> </w:t>
      </w:r>
      <w:r>
        <w:t xml:space="preserve">16/09, más la reparación de la línea base), un incumplimiento vivo propio (</w:t>
      </w:r>
      <w:r>
        <w:rPr>
          <w:bCs/>
          <w:b/>
        </w:rPr>
        <w:t xml:space="preserve">IV-10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apps/desk/server/citas/lineaBase.jsonl</w:t>
      </w:r>
      <w:r>
        <w:t xml:space="preserve">), un documento de triaje de 63 KB y un hallazgo estructural registrado (el falso verde de las seis exclusiones del detector). Es una capacidad de pleno derecho que nació en la semana del 15/09 y</w:t>
      </w:r>
      <w:r>
        <w:t xml:space="preserve"> </w:t>
      </w:r>
      <w:r>
        <w:rPr>
          <w:bCs/>
          <w:b/>
        </w:rPr>
        <w:t xml:space="preserve">no está declarada en ningún inventario de capacidades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vistas-tablero</w:t>
      </w:r>
      <w:r>
        <w:t xml:space="preserve"> </w:t>
      </w:r>
      <w:r>
        <w:t xml:space="preserve">salió de F1B-08 y está en el mismo sitio.</w:t>
      </w:r>
    </w:p>
    <w:p>
      <w:pPr>
        <w:pStyle w:val="BodyText"/>
      </w:pPr>
      <w:r>
        <w:rPr>
          <w:bCs/>
          <w:b/>
        </w:rPr>
        <w:t xml:space="preserve">El efecto concreto:</w:t>
      </w:r>
      <w:r>
        <w:t xml:space="preserve"> </w:t>
      </w:r>
      <w:r>
        <w:rPr>
          <w:rStyle w:val="VerbatimChar"/>
        </w:rPr>
        <w:t xml:space="preserve">session_preflight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son lo que cada sesión y cada sub-agente cargan como verdad del proyecto. Una capacidad que no está en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 </w:t>
      </w:r>
      <w:r>
        <w:t xml:space="preserve">no se carga, no se cita y no se hereda. Es el mismo modo de fallo que la regla de barrido de CLAUDE.md describe para los destinos huérfanos, aplicado a las capacidades en lugar de a los desvíos.</w:t>
      </w:r>
    </w:p>
    <w:bookmarkEnd w:id="24"/>
    <w:bookmarkStart w:id="25" w:name="ocho-de-quince-capacidades-sin-spec"/>
    <w:p>
      <w:pPr>
        <w:pStyle w:val="Heading3"/>
      </w:pPr>
      <w:r>
        <w:t xml:space="preserve">2.5 · Ocho de quince capacidades sin spec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declara quince capacidades. Hay nueve ficheros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 y dos de ellos no están declarados (§2.4). Sin spec: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Tanda que la escribiría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transitions-equipo-nuevo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transitions-soporte-remoto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hojas-vida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catalogo-equipos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ninguna</w:t>
            </w:r>
            <w:r>
              <w:t xml:space="preserve"> </w:t>
            </w:r>
            <w:r>
              <w:t xml:space="preserve">(§2.2)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diagnostico-checklist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inventario-lectura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ninguna en Fase 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la declara «fase 2»; F1A-04 sólo adelantó la pieza de dominio de 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No es un hueco de planificación —siete de las ocho tienen tanda—, pero sí un dato que no está publicado en ningún sitio:</w:t>
      </w:r>
      <w:r>
        <w:t xml:space="preserve"> </w:t>
      </w:r>
      <w:r>
        <w:rPr>
          <w:bCs/>
          <w:b/>
        </w:rPr>
        <w:t xml:space="preserve">a día de hoy el proyecto tiene spec de menos de la mitad de lo que declara</w:t>
      </w:r>
      <w:r>
        <w:t xml:space="preserve">, y las dos sin tanda son precisamente la base de F1D (</w:t>
      </w:r>
      <w:r>
        <w:rPr>
          <w:rStyle w:val="VerbatimChar"/>
        </w:rPr>
        <w:t xml:space="preserve">catalogo-equipos</w:t>
      </w:r>
      <w:r>
        <w:t xml:space="preserve">) y la de todo el eje ② (</w:t>
      </w:r>
      <w:r>
        <w:rPr>
          <w:rStyle w:val="VerbatimChar"/>
        </w:rPr>
        <w:t xml:space="preserve">kpis</w:t>
      </w:r>
      <w:r>
        <w:t xml:space="preserve">).</w:t>
      </w:r>
    </w:p>
    <w:bookmarkEnd w:id="25"/>
    <w:bookmarkStart w:id="26" w:name="X937efb5e046bb01ebe6a4eb8887f906a523644c"/>
    <w:p>
      <w:pPr>
        <w:pStyle w:val="Heading3"/>
      </w:pPr>
      <w:r>
        <w:t xml:space="preserve">2.6 · «Estado de espera»: el código lo resolvió, el maestro no se ha enterado</w:t>
      </w:r>
    </w:p>
    <w:p>
      <w:pPr>
        <w:pStyle w:val="BlockText"/>
      </w:pPr>
      <w:r>
        <w:rPr>
          <w:bCs/>
          <w:b/>
        </w:rPr>
        <w:t xml:space="preserve">⚠️ Apartado corregido el 17/09 tras medirlo contra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packages/shared/src/estados.ts</w:t>
      </w:r>
      <w:r>
        <w:rPr>
          <w:bCs/>
          <w:b/>
        </w:rPr>
        <w:t xml:space="preserve">.</w:t>
      </w:r>
      <w:r>
        <w:t xml:space="preserve"> </w:t>
      </w:r>
      <w:r>
        <w:t xml:space="preserve">La primera versión afirmaba que los dos criterios llevaban el mismo nombre y que «nadie lo ha escrito».</w:t>
      </w:r>
      <w:r>
        <w:t xml:space="preserve"> </w:t>
      </w:r>
      <w:r>
        <w:rPr>
          <w:bCs/>
          <w:b/>
        </w:rPr>
        <w:t xml:space="preserve">Es falso, y quien lo desmiente es el código.</w:t>
      </w:r>
      <w:r>
        <w:t xml:space="preserve"> </w:t>
      </w:r>
      <w:r>
        <w:t xml:space="preserve">Se conserva la corrección a la vista, no se reescribe en silencio.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declara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Maestro M1.3.4 y glosario del Anexo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«Estado de espera …</w:t>
            </w:r>
            <w:r>
              <w:t xml:space="preserve"> </w:t>
            </w:r>
            <w:r>
              <w:rPr>
                <w:bCs/>
                <w:b/>
              </w:rPr>
              <w:t xml:space="preserve">Hay cuatro</w:t>
            </w:r>
            <w:r>
              <w:t xml:space="preserve">» — un solo concepto, cuatro miembros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packages/shared/src/estados.ts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 registros distintos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ESTADOS_EN_ESPERA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once</w:t>
            </w:r>
            <w:r>
              <w:t xml:space="preserve">: 5 externa + 6 interna) y</w:t>
            </w:r>
            <w:r>
              <w:t xml:space="preserve"> </w:t>
            </w:r>
            <w:r>
              <w:rPr>
                <w:rStyle w:val="VerbatimChar"/>
              </w:rPr>
              <w:t xml:space="preserve">ESTADOS_SIN_SALIDA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los cuatro</w:t>
            </w:r>
            <w:r>
              <w:t xml:space="preserve"> </w:t>
            </w:r>
            <w:r>
              <w:t xml:space="preserve">de M1.3.4)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estados.ts</w:t>
      </w:r>
      <w:r>
        <w:t xml:space="preserve"> </w:t>
      </w:r>
      <w:r>
        <w:t xml:space="preserve">declara los cuatro</w:t>
      </w:r>
      <w:r>
        <w:t xml:space="preserve"> </w:t>
      </w:r>
      <w:r>
        <w:rPr>
          <w:rStyle w:val="VerbatimChar"/>
        </w:rPr>
        <w:t xml:space="preserve">sin_salida</w:t>
      </w:r>
      <w:r>
        <w:t xml:space="preserve"> </w:t>
      </w:r>
      <w:r>
        <w:t xml:space="preserve">por separado, escribe el discriminador —</w:t>
      </w:r>
      <w:r>
        <w:rPr>
          <w:iCs/>
          <w:i/>
        </w:rPr>
        <w:t xml:space="preserve">«el suceso del que depende la única salida ocurre FUERA de la aplicación —una entrega física, un retorno de laboratorio, un alta en otro sistema—, frente a un acto que alguien realiza DENTRO de la aplicación»</w:t>
      </w:r>
      <w:r>
        <w:t xml:space="preserve">— y razona por qué</w:t>
      </w:r>
      <w:r>
        <w:t xml:space="preserve"> </w:t>
      </w:r>
      <w:r>
        <w:rPr>
          <w:rStyle w:val="VerbatimChar"/>
        </w:rPr>
        <w:t xml:space="preserve">Liberación Comercial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Remisión creada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entran pese a tener salida única: sus salidas son un botón que alguien pulsa, no un camión que llega. Incluso deja la lección de método: «salida única» no es proxy de nada —hay</w:t>
      </w:r>
      <w:r>
        <w:t xml:space="preserve"> </w:t>
      </w:r>
      <w:r>
        <w:rPr>
          <w:bCs/>
          <w:b/>
        </w:rPr>
        <w:t xml:space="preserve">doce</w:t>
      </w:r>
      <w:r>
        <w:t xml:space="preserve"> </w:t>
      </w:r>
      <w:r>
        <w:t xml:space="preserve">estados con una sola transición de salida, entre ellos</w:t>
      </w:r>
      <w:r>
        <w:t xml:space="preserve"> </w:t>
      </w:r>
      <w:r>
        <w:rPr>
          <w:rStyle w:val="VerbatimChar"/>
        </w:rPr>
        <w:t xml:space="preserve">Ingresado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Ticket creado</w:t>
      </w:r>
      <w:r>
        <w:t xml:space="preserve">—, y por eso</w:t>
      </w:r>
      <w:r>
        <w:t xml:space="preserve"> </w:t>
      </w:r>
      <w:r>
        <w:rPr>
          <w:rStyle w:val="VerbatimChar"/>
        </w:rPr>
        <w:t xml:space="preserve">estados.test.ts</w:t>
      </w:r>
      <w:r>
        <w:t xml:space="preserve"> </w:t>
      </w:r>
      <w:r>
        <w:t xml:space="preserve">comprueba que los cuatro son estados</w:t>
      </w:r>
      <w:r>
        <w:t xml:space="preserve"> </w:t>
      </w:r>
      <w:r>
        <w:rPr>
          <w:bCs/>
          <w:b/>
        </w:rPr>
        <w:t xml:space="preserve">declarados</w:t>
      </w:r>
      <w:r>
        <w:t xml:space="preserve"> </w:t>
      </w:r>
      <w:r>
        <w:t xml:space="preserve">en vez de intentar derivarlos.</w:t>
      </w:r>
    </w:p>
    <w:p>
      <w:pPr>
        <w:pStyle w:val="BodyText"/>
      </w:pPr>
      <w:r>
        <w:rPr>
          <w:bCs/>
          <w:b/>
        </w:rPr>
        <w:t xml:space="preserve">Lo que sí queda abierto, que es menos de lo que este informe afirmaba y distinto: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 maestro es el que va por detrás.</w:t>
      </w:r>
      <w:r>
        <w:t xml:space="preserve"> </w:t>
      </w:r>
      <w:r>
        <w:t xml:space="preserve">Su glosario define «estado de espera» como los cuatro, cuando el código tiene once bajo ese nombre y cuatro bajo otro. Es material de</w:t>
      </w:r>
      <w:r>
        <w:t xml:space="preserve"> </w:t>
      </w:r>
      <w:r>
        <w:rPr>
          <w:bCs/>
          <w:b/>
        </w:rPr>
        <w:t xml:space="preserve">clase A para la R08.4</w:t>
      </w:r>
      <w:r>
        <w:t xml:space="preserve"> </w:t>
      </w:r>
      <w:r>
        <w:t xml:space="preserve">—as-built que el maestro no refleja—, no un hueco de planificación.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C3 / nº 31 está bien dimensionado.</w:t>
      </w:r>
      <w:r>
        <w:t xml:space="preserve"> </w:t>
      </w:r>
      <w:r>
        <w:t xml:space="preserve">Se refiere a los cuatro</w:t>
      </w:r>
      <w:r>
        <w:t xml:space="preserve"> </w:t>
      </w:r>
      <w:r>
        <w:rPr>
          <w:rStyle w:val="VerbatimChar"/>
        </w:rPr>
        <w:t xml:space="preserve">sin_salida</w:t>
      </w:r>
      <w:r>
        <w:t xml:space="preserve">, y ésos son exactamente los cuatro del registro.</w:t>
      </w:r>
      <w:r>
        <w:t xml:space="preserve"> </w:t>
      </w:r>
      <w:r>
        <w:rPr>
          <w:bCs/>
          <w:b/>
        </w:rPr>
        <w:t xml:space="preserve">Retiro la advertencia sobre F1C-03</w:t>
      </w:r>
      <w:r>
        <w:t xml:space="preserve">: la sesión del 18/09 puede llevarlo como «los cuatro» sin riesgo.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C7 sigue necesitando su propia lista, y el código lo dice con todas las letras.</w:t>
      </w:r>
      <w:r>
        <w:t xml:space="preserve"> </w:t>
      </w:r>
      <w:r>
        <w:t xml:space="preserve">El comentario de</w:t>
      </w:r>
      <w:r>
        <w:t xml:space="preserve"> </w:t>
      </w:r>
      <w:r>
        <w:rPr>
          <w:rStyle w:val="VerbatimChar"/>
        </w:rPr>
        <w:t xml:space="preserve">ESTADOS_EN_ESPERA</w:t>
      </w:r>
      <w:r>
        <w:t xml:space="preserve"> </w:t>
      </w:r>
      <w:r>
        <w:t xml:space="preserve">avisa:</w:t>
      </w:r>
      <w:r>
        <w:t xml:space="preserve"> </w:t>
      </w:r>
      <w:r>
        <w:rPr>
          <w:iCs/>
          <w:i/>
        </w:rPr>
        <w:t xml:space="preserve">«Es la lista de la VISTA. El reloj del SLA no la lee — para en los tres bodegajes de M1.10, que son periodos entre fechas»</w:t>
      </w:r>
      <w:r>
        <w:t xml:space="preserve">.</w:t>
      </w:r>
      <w:r>
        <w:t xml:space="preserve"> </w:t>
      </w:r>
      <w:r>
        <w:rPr>
          <w:rStyle w:val="VerbatimChar"/>
        </w:rPr>
        <w:t xml:space="preserve">decision/c7-reloj-sla</w:t>
      </w:r>
      <w:r>
        <w:t xml:space="preserve"> </w:t>
      </w:r>
      <w:r>
        <w:t xml:space="preserve">(F1C-06, 25/09) no puede limitarse a adoptar ninguno de los dos registros: tiene que decidir el suyo. Y</w:t>
      </w:r>
      <w:r>
        <w:t xml:space="preserve"> </w:t>
      </w:r>
      <w:r>
        <w:rPr>
          <w:rStyle w:val="VerbatimChar"/>
        </w:rPr>
        <w:t xml:space="preserve">SLA_HORAS_POR_ESTADO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sla.ts:32</w:t>
      </w:r>
      <w:r>
        <w:t xml:space="preserve">) sigue con</w:t>
      </w:r>
      <w:r>
        <w:t xml:space="preserve"> </w:t>
      </w:r>
      <w:r>
        <w:rPr>
          <w:bCs/>
          <w:b/>
        </w:rPr>
        <w:t xml:space="preserve">una sola entrada</w:t>
      </w:r>
      <w:r>
        <w:t xml:space="preserve">, la de C11.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Pendiente</w:t>
      </w:r>
      <w:r>
        <w:rPr>
          <w:bCs/>
          <w:b/>
        </w:rPr>
        <w:t xml:space="preserve"> </w:t>
      </w:r>
      <w:r>
        <w:rPr>
          <w:bCs/>
          <w:b/>
        </w:rPr>
        <w:t xml:space="preserve">es el único de los 21 estados sin clase.</w:t>
      </w:r>
      <w:r>
        <w:t xml:space="preserve"> </w:t>
      </w:r>
      <w:r>
        <w:rPr>
          <w:rStyle w:val="VerbatimChar"/>
        </w:rPr>
        <w:t xml:space="preserve">estados.ts</w:t>
      </w:r>
      <w:r>
        <w:t xml:space="preserve"> </w:t>
      </w:r>
      <w:r>
        <w:t xml:space="preserve">lo deja bajo «sin clasificar (1)», esperando a Servicio Técnico desde el 11/09 — la misma sesión de la que el R08.3 §B.3 dice que no hay evidencia de que se celebrara.</w:t>
      </w:r>
    </w:p>
    <w:p>
      <w:pPr>
        <w:pStyle w:val="FirstParagraph"/>
      </w:pPr>
      <w:r>
        <w:rPr>
          <w:bCs/>
          <w:b/>
        </w:rPr>
        <w:t xml:space="preserve">Lo que esto enseña sobre el propio mecanismo.</w:t>
      </w:r>
      <w:r>
        <w:t xml:space="preserve"> </w:t>
      </w:r>
      <w:r>
        <w:t xml:space="preserve">El error de la primera versión salió de leer</w:t>
      </w:r>
      <w:r>
        <w:t xml:space="preserve"> </w:t>
      </w:r>
      <w:r>
        <w:rPr>
          <w:rStyle w:val="VerbatimChar"/>
        </w:rPr>
        <w:t xml:space="preserve">openspec/config.yaml</w:t>
      </w:r>
      <w:r>
        <w:t xml:space="preserve"> </w:t>
      </w:r>
      <w:r>
        <w:t xml:space="preserve">en vez del código, y es exactamente el modo de fallo que el propio fichero declara de sí mismo:</w:t>
      </w:r>
      <w:r>
        <w:t xml:space="preserve"> </w:t>
      </w:r>
      <w:r>
        <w:rPr>
          <w:iCs/>
          <w:i/>
        </w:rPr>
        <w:t xml:space="preserve">«este fichero PUEDE ESTAR CADUCO; antes de citarlo como autoridad sobre el estado del código, hay que comprobarlo contra el código»</w:t>
      </w:r>
      <w:r>
        <w:t xml:space="preserve">. Va anotado: la comprobación de cifras ancladas del barrido</w:t>
      </w:r>
      <w:r>
        <w:t xml:space="preserve"> </w:t>
      </w:r>
      <w:r>
        <w:rPr>
          <w:bCs/>
          <w:b/>
        </w:rPr>
        <w:t xml:space="preserve">lee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packages/shared</w:t>
      </w:r>
      <w:r>
        <w:t xml:space="preserve">, no la documentación.</w:t>
      </w:r>
    </w:p>
    <w:p>
      <w:pPr>
        <w:pStyle w:val="BodyText"/>
      </w:pPr>
      <w:r>
        <w:rPr>
          <w:iCs/>
          <w:i/>
        </w:rPr>
        <w:t xml:space="preserve">(La otra discrepancia de conteo conocida —38 pasos del mapa frente a 36 del código—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iCs/>
          <w:i/>
        </w:rPr>
        <w:t xml:space="preserve">es un hueco: la R08.2 ya la marca en revisión, con hipótesis escrita, y la cierra F1A-06 al generar el mapa desde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transitions.ts</w:t>
      </w:r>
      <w:r>
        <w:rPr>
          <w:iCs/>
          <w:i/>
        </w:rPr>
        <w:t xml:space="preserve">. Se menciona sólo para que no se cuente dos veces.)</w:t>
      </w:r>
    </w:p>
    <w:bookmarkEnd w:id="26"/>
    <w:bookmarkStart w:id="27" w:name="X541ad3d1ea7cecfb75291a73324f7043d9ebab8"/>
    <w:p>
      <w:pPr>
        <w:pStyle w:val="Heading3"/>
      </w:pPr>
      <w:r>
        <w:t xml:space="preserve">2.7 · Puntos del Anexo D de Fase 1 sin tanda y sin gate</w:t>
      </w:r>
    </w:p>
    <w:p>
      <w:pPr>
        <w:pStyle w:val="FirstParagraph"/>
      </w:pPr>
      <w:r>
        <w:t xml:space="preserve">Barrido de los 62 puntos existentes (19 y 22 no existen) contra todas las menciones</w:t>
      </w:r>
      <w:r>
        <w:t xml:space="preserve"> </w:t>
      </w:r>
      <w:r>
        <w:rPr>
          <w:rStyle w:val="VerbatimChar"/>
        </w:rPr>
        <w:t xml:space="preserve">P&lt;n&gt;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nº &lt;n&gt;</w:t>
      </w:r>
      <w:r>
        <w:t xml:space="preserve"> </w:t>
      </w:r>
      <w:r>
        <w:t xml:space="preserve">del plan. Descontando los resueltos y los que pertenecen a módulos de Fase 2 y posteriores —que por la regla (c) de</w:t>
      </w:r>
      <w:r>
        <w:t xml:space="preserve"> </w:t>
      </w:r>
      <w:r>
        <w:rPr>
          <w:rStyle w:val="VerbatimChar"/>
        </w:rPr>
        <w:t xml:space="preserve">unidad_de_avance</w:t>
      </w:r>
      <w:r>
        <w:t xml:space="preserve"> </w:t>
      </w:r>
      <w:r>
        <w:rPr>
          <w:bCs/>
          <w:b/>
        </w:rPr>
        <w:t xml:space="preserve">no deben</w:t>
      </w:r>
      <w:r>
        <w:t xml:space="preserve"> </w:t>
      </w:r>
      <w:r>
        <w:t xml:space="preserve">tener tanda—, quedan</w:t>
      </w:r>
      <w:r>
        <w:t xml:space="preserve"> </w:t>
      </w:r>
      <w:r>
        <w:rPr>
          <w:bCs/>
          <w:b/>
        </w:rPr>
        <w:t xml:space="preserve">ocho</w:t>
      </w:r>
      <w:r>
        <w:t xml:space="preserve"> </w:t>
      </w:r>
      <w:r>
        <w:t xml:space="preserve">que sí tocan Fase 1 y no aparecen: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debería enganchar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exacto de la alerta de no-aprobación del cliente: ¿24 o 48 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 familia que C11 y que la alarma de 72 h de</w:t>
            </w:r>
            <w:r>
              <w:t xml:space="preserve"> </w:t>
            </w:r>
            <w:r>
              <w:rPr>
                <w:rStyle w:val="VerbatimChar"/>
              </w:rPr>
              <w:t xml:space="preserve">Remisión creada</w:t>
            </w:r>
            <w:r>
              <w:t xml:space="preserve">; las tres viven en</w:t>
            </w:r>
            <w:r>
              <w:t xml:space="preserve"> </w:t>
            </w:r>
            <w:r>
              <w:rPr>
                <w:rStyle w:val="VerbatimChar"/>
              </w:rPr>
              <w:t xml:space="preserve">SLA_HORAS_POR_ESTADO</w:t>
            </w:r>
            <w:r>
              <w:t xml:space="preserve">, que hoy tiene</w:t>
            </w:r>
            <w:r>
              <w:t xml:space="preserve"> </w:t>
            </w:r>
            <w:r>
              <w:rPr>
                <w:bCs/>
                <w:b/>
              </w:rPr>
              <w:t xml:space="preserve">una</w:t>
            </w:r>
            <w:r>
              <w:t xml:space="preserve"> </w:t>
            </w: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Alfonso / Comercial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garantía</w:t>
            </w:r>
            <w:r>
              <w:t xml:space="preserve"> </w:t>
            </w:r>
            <w:r>
              <w:rPr>
                <w:bCs/>
                <w:b/>
              </w:rPr>
              <w:t xml:space="preserve">con el proveedor</w:t>
            </w:r>
            <w:r>
              <w:t xml:space="preserve">, hoy fuera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/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Contiguo a lo decidido el 10/09 (OVI de garantía, F1B-03), y no es lo mismo: aquello es la salida de stock, esto es la reclamación al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Gustavo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 predeterminados por etapa</w:t>
            </w:r>
            <w:r>
              <w:t xml:space="preserve"> </w:t>
            </w:r>
            <w:r>
              <w:rPr>
                <w:bCs/>
                <w:b/>
              </w:rPr>
              <w:t xml:space="preserve">o</w:t>
            </w:r>
            <w:r>
              <w:t xml:space="preserve"> </w:t>
            </w:r>
            <w:r>
              <w:t xml:space="preserve">textos dinámicos con consulta a la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F1D-04 (captura por visita) escribe comentarios; el punto decide con 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Gustavo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en sitio como cuarta 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de este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Alfonso / Gustavo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repuestos se adelantan al diagnóstico y cuáles esperan a la OC (riesgo del 10 % de cotizaciones no aprobadas)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F1D-06</w:t>
            </w:r>
            <w:r>
              <w:t xml:space="preserve"> </w:t>
            </w:r>
            <w:r>
              <w:t xml:space="preserve">(repuestos por etapa, S46) construye la mecánica; este punto fija el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 / Compras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identifica el sistema que un ticket</w:t>
            </w:r>
            <w:r>
              <w:t xml:space="preserve"> </w:t>
            </w:r>
            <w:r>
              <w:rPr>
                <w:bCs/>
                <w:b/>
              </w:rPr>
              <w:t xml:space="preserve">pertenece a un contrato</w:t>
            </w:r>
            <w:r>
              <w:t xml:space="preserve">, cómo se refleja en la prioridad, y cómo las subórdenes alimentan el</w:t>
            </w:r>
            <w:r>
              <w:t xml:space="preserve"> </w:t>
            </w:r>
            <w:r>
              <w:rPr>
                <w:bCs/>
                <w:b/>
              </w:rPr>
              <w:t xml:space="preserve">informe trimestral de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M4.4 · M1.9.1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Medio cubierto:</w:t>
            </w:r>
            <w:r>
              <w:t xml:space="preserve"> </w:t>
            </w:r>
            <w:r>
              <w:t xml:space="preserve">F1B-11 lleva</w:t>
            </w:r>
            <w:r>
              <w:t xml:space="preserve"> </w:t>
            </w:r>
            <w:r>
              <w:rPr>
                <w:rStyle w:val="VerbatimChar"/>
              </w:rPr>
              <w:t xml:space="preserve">vigencia-contrato</w:t>
            </w:r>
            <w:r>
              <w:t xml:space="preserve">, que sólo resuelve si una subOV de contrato vencido se consume. La identificación del contrato, la prioridad y el informe trimestral no están:</w:t>
            </w:r>
            <w:r>
              <w:t xml:space="preserve"> </w:t>
            </w:r>
            <w:r>
              <w:rPr>
                <w:rStyle w:val="VerbatimChar"/>
              </w:rPr>
              <w:t xml:space="preserve">grep -ci "trimestr"</w:t>
            </w:r>
            <w:r>
              <w:t xml:space="preserve"> </w:t>
            </w:r>
            <w:r>
              <w:t xml:space="preserve">sobre el plan 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. Y la convención</w:t>
            </w:r>
            <w:r>
              <w:t xml:space="preserve"> </w:t>
            </w:r>
            <w:r>
              <w:rPr>
                <w:rStyle w:val="VerbatimChar"/>
              </w:rPr>
              <w:t xml:space="preserve">OV-AAAA-NNN-SS</w:t>
            </w:r>
            <w:r>
              <w:t xml:space="preserve"> </w:t>
            </w:r>
            <w:r>
              <w:t xml:space="preserve">decidida el 10/09</w:t>
            </w:r>
            <w:r>
              <w:t xml:space="preserve"> </w:t>
            </w:r>
            <w:r>
              <w:rPr>
                <w:bCs/>
                <w:b/>
              </w:rPr>
              <w:t xml:space="preserve">es</w:t>
            </w:r>
            <w:r>
              <w:t xml:space="preserve"> </w:t>
            </w:r>
            <w:r>
              <w:t xml:space="preserve">el mecanismo que este punto dice que alimenta el informe — nadie ha unido las dos cosas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 / Gustavo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de taxonomía de fallas (ISO 14224)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F1D-07</w:t>
            </w:r>
            <w:r>
              <w:t xml:space="preserve"> </w:t>
            </w:r>
            <w:r>
              <w:t xml:space="preserve">(formulario de falla nueva, S47) necesita la taxonomía para existir;</w:t>
            </w:r>
            <w:r>
              <w:t xml:space="preserve"> </w:t>
            </w:r>
            <w:r>
              <w:rPr>
                <w:rStyle w:val="VerbatimChar"/>
              </w:rPr>
              <w:t xml:space="preserve">grep -c "14224"</w:t>
            </w:r>
            <w:r>
              <w:t xml:space="preserve"> </w:t>
            </w:r>
            <w:r>
              <w:t xml:space="preserve">sobre el plan 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Gustavo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incorporación de actas al maestro: quién avisa, con qué cadencia, contra qué fuente se comprueba que no falta ninguna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punto ya se cobró una pieza:</w:t>
            </w:r>
            <w:r>
              <w:t xml:space="preserve"> </w:t>
            </w:r>
            <w:r>
              <w:t xml:space="preserve">el R08.3 §B.3 registra que de la sesión del 11/09 «no hay evidencia de que se celebrara», y sus siete gates siguen pendientes. Eso es exactamente el fallo que nº 61 describe, ocurriendo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Alfonso</w:t>
            </w:r>
          </w:p>
        </w:tc>
      </w:tr>
    </w:tbl>
    <w:p>
      <w:pPr>
        <w:pStyle w:val="BodyText"/>
      </w:pPr>
      <w:r>
        <w:t xml:space="preserve">Los demás sin tanda —5, 11, 13, 16, 17, 18, 20, 23, 24, 25, 26, 28, 29, 30, 48, 49, 50, 51, 57, 58, 63— pertenecen a M6, M7, M8, M9, M10 y M12 o son documentales, y</w:t>
      </w:r>
      <w:r>
        <w:t xml:space="preserve"> </w:t>
      </w:r>
      <w:r>
        <w:rPr>
          <w:bCs/>
          <w:b/>
        </w:rPr>
        <w:t xml:space="preserve">su ausencia del plan es correcta</w:t>
      </w:r>
      <w:r>
        <w:t xml:space="preserve">. Dos merecen una línea aun así: el</w:t>
      </w:r>
      <w:r>
        <w:t xml:space="preserve"> </w:t>
      </w:r>
      <w:r>
        <w:rPr>
          <w:bCs/>
          <w:b/>
        </w:rPr>
        <w:t xml:space="preserve">57</w:t>
      </w:r>
      <w:r>
        <w:t xml:space="preserve"> </w:t>
      </w:r>
      <w:r>
        <w:t xml:space="preserve">(seguridad del portal, «hoy sin dueño y</w:t>
      </w:r>
      <w:r>
        <w:t xml:space="preserve"> </w:t>
      </w:r>
      <w:r>
        <w:rPr>
          <w:bCs/>
          <w:b/>
        </w:rPr>
        <w:t xml:space="preserve">condicionante de la puesta en producción</w:t>
      </w:r>
      <w:r>
        <w:t xml:space="preserve">») porque su condicionalidad es de Fase 1 aunque su módulo no lo sea; y el</w:t>
      </w:r>
      <w:r>
        <w:t xml:space="preserve"> </w:t>
      </w:r>
      <w:r>
        <w:rPr>
          <w:bCs/>
          <w:b/>
        </w:rPr>
        <w:t xml:space="preserve">42</w:t>
      </w:r>
      <w:r>
        <w:t xml:space="preserve">, que queda cubierto por contenido en el gate</w:t>
      </w:r>
      <w:r>
        <w:t xml:space="preserve"> </w:t>
      </w:r>
      <w:r>
        <w:rPr>
          <w:rStyle w:val="VerbatimChar"/>
        </w:rPr>
        <w:t xml:space="preserve">flujos-comercial-posible-cliente</w:t>
      </w:r>
      <w:r>
        <w:t xml:space="preserve"> </w:t>
      </w:r>
      <w:r>
        <w:t xml:space="preserve">(F1B-06) pero no por nombre, y conviene anotarlo ahí para que no se pierda.</w:t>
      </w:r>
    </w:p>
    <w:bookmarkEnd w:id="27"/>
    <w:bookmarkStart w:id="28" w:name="Xea27fd9c525a497e03d41ec95e114b187e284b0"/>
    <w:p>
      <w:pPr>
        <w:pStyle w:val="Heading3"/>
      </w:pPr>
      <w:r>
        <w:t xml:space="preserve">2.8 · Los cinco incumplimientos vivos, y el par que nadie ha emparejado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le 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«Punto abierto para Gerencia — sin tanda, y a propósito»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 no es cierto que no tenga tanda:</w:t>
            </w:r>
            <w:r>
              <w:t xml:space="preserve"> </w:t>
            </w:r>
            <w:r>
              <w:t xml:space="preserve">se decidió el 10/09 (opción a) y el plan lo rutea a</w:t>
            </w:r>
            <w:r>
              <w:t xml:space="preserve"> </w:t>
            </w:r>
            <w:r>
              <w:rPr>
                <w:bCs/>
                <w:b/>
              </w:rPr>
              <w:t xml:space="preserve">F1A-07</w:t>
            </w:r>
            <w:r>
              <w:t xml:space="preserve"> </w:t>
            </w:r>
            <w:r>
              <w:t xml:space="preserve">con clave</w:t>
            </w:r>
            <w:r>
              <w:t xml:space="preserve"> </w:t>
            </w:r>
            <w:r>
              <w:rPr>
                <w:rStyle w:val="VerbatimChar"/>
              </w:rPr>
              <w:t xml:space="preserve">iv2-fechas-derivadas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sigue diciendo que no tiene destino. Corregir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destino, a 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</w:t>
            </w:r>
            <w:r>
              <w:t xml:space="preserve"> </w:t>
            </w:r>
            <w:r>
              <w:rPr>
                <w:rStyle w:val="VerbatimChar"/>
              </w:rPr>
              <w:t xml:space="preserve">decision/titularidad-ov-equipo</w:t>
            </w:r>
            <w:r>
              <w:t xml:space="preserve"> </w:t>
            </w:r>
            <w:r>
              <w:t xml:space="preserve">(F1B-11, sesión 11/09 — que no consta celebrada)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destino, a 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predicados de color con variantes distintas (</w:t>
            </w:r>
            <w:r>
              <w:rPr>
                <w:rStyle w:val="VerbatimChar"/>
              </w:rPr>
              <w:t xml:space="preserve">/espera/i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/espera|hold/i</w:t>
            </w:r>
            <w:r>
              <w:t xml:space="preserve">). El arreglo correcto es «una sola fuente de color,</w:t>
            </w:r>
            <w:r>
              <w:t xml:space="preserve"> </w:t>
            </w:r>
            <w:r>
              <w:rPr>
                <w:rStyle w:val="VerbatimChar"/>
              </w:rPr>
              <w:t xml:space="preserve">TicketCard.tsx:14</w:t>
            </w:r>
            <w:r>
              <w:t xml:space="preserve">», y no admite rojo previo porque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  <w:r>
              <w:t xml:space="preserve"> </w:t>
            </w:r>
            <w:r>
              <w:t xml:space="preserve">está fuera de la red de pruebas por decisión de F0-00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destino, a 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destino, a 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incumplimientos observables del orden de precedencia en el alta de remisión. Lo declara F1B-10, que no lo toca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par IV-4 / IV-11, que es lo que de verdad está escapándose.</w:t>
      </w:r>
      <w:r>
        <w:t xml:space="preserve"> </w:t>
      </w:r>
      <w:r>
        <w:t xml:space="preserve">El 16/09 se construyó la tercera puerta: la remisión de entrada ya no puede escribir una OV que pertenece a otro ticket. Y el 16/09 la exploración de esa misma tanda encontró</w:t>
      </w:r>
      <w:r>
        <w:t xml:space="preserve"> </w:t>
      </w:r>
      <w:r>
        <w:rPr>
          <w:bCs/>
          <w:b/>
        </w:rPr>
        <w:t xml:space="preserve">IV-11</w:t>
      </w:r>
      <w:r>
        <w:t xml:space="preserve">:</w:t>
      </w:r>
      <w:r>
        <w:t xml:space="preserve"> </w:t>
      </w:r>
      <w:r>
        <w:rPr>
          <w:rStyle w:val="VerbatimChar"/>
        </w:rPr>
        <w:t xml:space="preserve">upsertTicket</w:t>
      </w:r>
      <w:r>
        <w:t xml:space="preserve"> </w:t>
      </w:r>
      <w:r>
        <w:t xml:space="preserve">reescribe</w:t>
      </w:r>
      <w:r>
        <w:t xml:space="preserve"> </w:t>
      </w:r>
      <w:r>
        <w:rPr>
          <w:rStyle w:val="VerbatimChar"/>
        </w:rPr>
        <w:t xml:space="preserve">orden_venta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fecha_orden_venta</w:t>
      </w:r>
      <w:r>
        <w:t xml:space="preserve"> </w:t>
      </w:r>
      <w:r>
        <w:t xml:space="preserve">porque están en</w:t>
      </w:r>
      <w:r>
        <w:t xml:space="preserve"> </w:t>
      </w:r>
      <w:r>
        <w:rPr>
          <w:rStyle w:val="VerbatimChar"/>
        </w:rPr>
        <w:t xml:space="preserve">TICKET_COLS</w:t>
      </w:r>
      <w:r>
        <w:t xml:space="preserve">,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salesorder_id</w:t>
      </w:r>
      <w:r>
        <w:t xml:space="preserve">, que entró después por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. 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 la remisión no pone</w:t>
      </w:r>
      <w:r>
        <w:t xml:space="preserve"> </w:t>
      </w:r>
      <w:r>
        <w:rPr>
          <w:rStyle w:val="VerbatimChar"/>
        </w:rPr>
        <w:t xml:space="preserve">managed_by_app = true</w:t>
      </w:r>
      <w:r>
        <w:t xml:space="preserve">. El sync pasa cada 180 s.</w:t>
      </w:r>
    </w:p>
    <w:p>
      <w:pPr>
        <w:pStyle w:val="BodyText"/>
      </w:pPr>
      <w:r>
        <w:t xml:space="preserve">Consecuencia en una frase:</w:t>
      </w:r>
      <w:r>
        <w:t xml:space="preserve"> </w:t>
      </w:r>
      <w:r>
        <w:rPr>
          <w:bCs/>
          <w:b/>
        </w:rPr>
        <w:t xml:space="preserve">la puerta impide crear el duplicado, y el sync puede crear el estado inconsistente igualmente</w:t>
      </w:r>
      <w:r>
        <w:t xml:space="preserve">, dejando</w:t>
      </w:r>
      <w:r>
        <w:t xml:space="preserve"> </w:t>
      </w:r>
      <w:r>
        <w:rPr>
          <w:rStyle w:val="VerbatimChar"/>
        </w:rPr>
        <w:t xml:space="preserve">orden_venta</w:t>
      </w:r>
      <w:r>
        <w:t xml:space="preserve"> </w:t>
      </w:r>
      <w:r>
        <w:t xml:space="preserve">vacía y</w:t>
      </w:r>
      <w:r>
        <w:t xml:space="preserve"> </w:t>
      </w:r>
      <w:r>
        <w:rPr>
          <w:rStyle w:val="VerbatimChar"/>
        </w:rPr>
        <w:t xml:space="preserve">salesorder_id</w:t>
      </w:r>
      <w:r>
        <w:t xml:space="preserve"> </w:t>
      </w:r>
      <w:r>
        <w:t xml:space="preserve">viva. Y entonces la</w:t>
      </w:r>
      <w:r>
        <w:t xml:space="preserve"> </w:t>
      </w:r>
      <w:r>
        <w:rPr>
          <w:bCs/>
          <w:b/>
        </w:rPr>
        <w:t xml:space="preserve">puerta 2</w:t>
      </w:r>
      <w:r>
        <w:t xml:space="preserve"> </w:t>
      </w:r>
      <w:r>
        <w:t xml:space="preserve">—que comprueba sólo por número (</w:t>
      </w:r>
      <w:r>
        <w:rPr>
          <w:rStyle w:val="VerbatimChar"/>
        </w:rPr>
        <w:t xml:space="preserve">ticketService.ts:134</w:t>
      </w:r>
      <w:r>
        <w:t xml:space="preserve">)— tampoco encuentra ese ticket.</w:t>
      </w:r>
    </w:p>
    <w:p>
      <w:pPr>
        <w:pStyle w:val="BodyText"/>
      </w:pPr>
      <w:r>
        <w:t xml:space="preserve">La medición de Gerencia del 16/09 —divergencia 0 sobre población 1— va con su advertencia pegada en el propio fichero, y hace bien: con población 1 un duplicado es aritméticamente imposible.</w:t>
      </w:r>
      <w:r>
        <w:t xml:space="preserve"> </w:t>
      </w:r>
      <w:r>
        <w:rPr>
          <w:bCs/>
          <w:b/>
        </w:rPr>
        <w:t xml:space="preserve">Ese 0 no dice nada.</w:t>
      </w:r>
    </w:p>
    <w:p>
      <w:pPr>
        <w:pStyle w:val="BodyText"/>
      </w:pPr>
      <w:r>
        <w:t xml:space="preserve">Las dos salidas están escritas en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y no son equivalentes: (a) que el escritor de la remisión ponga</w:t>
      </w:r>
      <w:r>
        <w:t xml:space="preserve"> </w:t>
      </w:r>
      <w:r>
        <w:rPr>
          <w:rStyle w:val="VerbatimChar"/>
        </w:rPr>
        <w:t xml:space="preserve">managed_by_app = true</w:t>
      </w:r>
      <w:r>
        <w:t xml:space="preserve"> </w:t>
      </w:r>
      <w:r>
        <w:t xml:space="preserve">—conserva la orden, pero saca ese ticket del sync para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sus columnas—; (b) que</w:t>
      </w:r>
      <w:r>
        <w:t xml:space="preserve"> </w:t>
      </w:r>
      <w:r>
        <w:rPr>
          <w:rStyle w:val="VerbatimChar"/>
        </w:rPr>
        <w:t xml:space="preserve">salesorder_id</w:t>
      </w:r>
      <w:r>
        <w:t xml:space="preserve"> </w:t>
      </w:r>
      <w:r>
        <w:t xml:space="preserve">entre en</w:t>
      </w:r>
      <w:r>
        <w:t xml:space="preserve"> </w:t>
      </w:r>
      <w:r>
        <w:rPr>
          <w:rStyle w:val="VerbatimChar"/>
        </w:rPr>
        <w:t xml:space="preserve">TICKET_COLS</w:t>
      </w:r>
      <w:r>
        <w:t xml:space="preserve"> </w:t>
      </w:r>
      <w:r>
        <w:t xml:space="preserve">—deja la fila coherente, a cambio de perder el id en cada pasada—.</w:t>
      </w:r>
      <w:r>
        <w:t xml:space="preserve"> </w:t>
      </w:r>
      <w:r>
        <w:rPr>
          <w:bCs/>
          <w:b/>
        </w:rPr>
        <w:t xml:space="preserve">Es decisión de alcance, no técnica, y debería tomarse antes de dar IV-4 por cerrado en producción, no después.</w:t>
      </w:r>
      <w:r>
        <w:t xml:space="preserve"> </w:t>
      </w:r>
      <w:r>
        <w:t xml:space="preserve">Hoy IV-4 figura CERRADO y IV-11 SIN DESTINO, en el mismo fichero, sin que nada los una.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o-que-hay-que-hacer-en-orden"/>
    <w:p>
      <w:pPr>
        <w:pStyle w:val="Heading2"/>
      </w:pPr>
      <w:r>
        <w:t xml:space="preserve">3 · Lo que hay que hacer, en orden</w:t>
      </w:r>
    </w:p>
    <w:p>
      <w:pPr>
        <w:pStyle w:val="FirstParagraph"/>
      </w:pPr>
      <w:r>
        <w:rPr>
          <w:bCs/>
          <w:b/>
        </w:rPr>
        <w:t xml:space="preserve">Esta semana, antes de la sesión del 18/09:</w:t>
      </w:r>
    </w:p>
    <w:p>
      <w:pPr>
        <w:numPr>
          <w:ilvl w:val="0"/>
          <w:numId w:val="1003"/>
        </w:numPr>
        <w:pStyle w:val="Compact"/>
      </w:pPr>
      <w:r>
        <w:rPr>
          <w:strike/>
        </w:rPr>
        <w:t xml:space="preserve">Recontar los estados de espera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hecho el 17/09 contra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estados.ts</w:t>
      </w:r>
      <w:r>
        <w:rPr>
          <w:bCs/>
          <w:b/>
        </w:rPr>
        <w:t xml:space="preserve">, y el resultado retira la alarma</w:t>
      </w:r>
      <w:r>
        <w:t xml:space="preserve">:</w:t>
      </w:r>
      <w:r>
        <w:t xml:space="preserve"> </w:t>
      </w:r>
      <w:r>
        <w:rPr>
          <w:rStyle w:val="VerbatimChar"/>
        </w:rPr>
        <w:t xml:space="preserve">ESTADOS_SIN_SALIDA</w:t>
      </w:r>
      <w:r>
        <w:t xml:space="preserve"> </w:t>
      </w:r>
      <w:r>
        <w:t xml:space="preserve">ya declara exactamente los cuatro de C3, así que F1C-03 puede ir a la sesión del 18/09 tal cual. Lo que queda es de otra índole:</w:t>
      </w:r>
      <w:r>
        <w:t xml:space="preserve"> </w:t>
      </w:r>
      <w:r>
        <w:rPr>
          <w:rStyle w:val="VerbatimChar"/>
        </w:rPr>
        <w:t xml:space="preserve">decision/c7-reloj-sla</w:t>
      </w:r>
      <w:r>
        <w:t xml:space="preserve"> </w:t>
      </w:r>
      <w:r>
        <w:t xml:space="preserve">(F1C-06, 25/09) no puede adoptar ninguno de los dos registros y tiene que decidir el suyo (§2.6).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Decidir el par IV-4 / IV-11</w:t>
      </w:r>
      <w:r>
        <w:t xml:space="preserve"> </w:t>
      </w:r>
      <w:r>
        <w:t xml:space="preserve">(§2.8), opción (a) o (b). La puerta recién construida depende de ello.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Dictaminar si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tercera-puerta-orden-venta</w:t>
      </w:r>
      <w:r>
        <w:rPr>
          <w:bCs/>
          <w:b/>
        </w:rPr>
        <w:t xml:space="preserve"> </w:t>
      </w:r>
      <w:r>
        <w:rPr>
          <w:bCs/>
          <w:b/>
        </w:rPr>
        <w:t xml:space="preserve">es F1A-08</w:t>
      </w:r>
      <w:r>
        <w:t xml:space="preserve"> </w:t>
      </w:r>
      <w:r>
        <w:t xml:space="preserve">(§2.3) y escribir la regla del ID de tanda en el</w:t>
      </w:r>
      <w:r>
        <w:t xml:space="preserve"> </w:t>
      </w:r>
      <w:r>
        <w:rPr>
          <w:rStyle w:val="VerbatimChar"/>
        </w:rPr>
        <w:t xml:space="preserve">proposal.md</w:t>
      </w:r>
      <w:r>
        <w:t xml:space="preserve">. Si es que sí, el avance pasa a 11/51.</w:t>
      </w:r>
    </w:p>
    <w:p>
      <w:pPr>
        <w:pStyle w:val="FirstParagraph"/>
      </w:pPr>
      <w:r>
        <w:rPr>
          <w:bCs/>
          <w:b/>
        </w:rPr>
        <w:t xml:space="preserve">Correcciones de registro, sin decisión de por medio:</w:t>
      </w:r>
    </w:p>
    <w:p>
      <w:pPr>
        <w:numPr>
          <w:ilvl w:val="0"/>
          <w:numId w:val="1004"/>
        </w:numPr>
        <w:pStyle w:val="Compact"/>
      </w:pPr>
      <w:r>
        <w:t xml:space="preserve">Declarar</w:t>
      </w:r>
      <w:r>
        <w:t xml:space="preserve"> </w:t>
      </w:r>
      <w:r>
        <w:rPr>
          <w:rStyle w:val="VerbatimChar"/>
        </w:rPr>
        <w:t xml:space="preserve">citas-verificables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vistas-tablero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config.yaml → capabilities</w:t>
      </w:r>
      <w:r>
        <w:t xml:space="preserve"> </w:t>
      </w:r>
      <w:r>
        <w:t xml:space="preserve">(§2.4).</w:t>
      </w:r>
    </w:p>
    <w:p>
      <w:pPr>
        <w:numPr>
          <w:ilvl w:val="0"/>
          <w:numId w:val="1004"/>
        </w:numPr>
        <w:pStyle w:val="Compact"/>
      </w:pPr>
      <w:r>
        <w:t xml:space="preserve">Corregir el</w:t>
      </w:r>
      <w:r>
        <w:t xml:space="preserve"> </w:t>
      </w:r>
      <w:r>
        <w:rPr>
          <w:rStyle w:val="VerbatimChar"/>
        </w:rPr>
        <w:t xml:space="preserve">destino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IV-2</w:t>
      </w:r>
      <w:r>
        <w:t xml:space="preserve">, que sigue diciendo «sin tanda» cuando el plan lo rutea a F1A-07 (§2.8).</w:t>
      </w:r>
    </w:p>
    <w:p>
      <w:pPr>
        <w:numPr>
          <w:ilvl w:val="0"/>
          <w:numId w:val="1004"/>
        </w:numPr>
        <w:pStyle w:val="Compact"/>
      </w:pPr>
      <w:r>
        <w:t xml:space="preserve">Registrar</w:t>
      </w:r>
      <w:r>
        <w:t xml:space="preserve"> </w:t>
      </w:r>
      <w:r>
        <w:rPr>
          <w:bCs/>
          <w:b/>
        </w:rPr>
        <w:t xml:space="preserve">PF-2</w:t>
      </w:r>
      <w:r>
        <w:t xml:space="preserve"> </w:t>
      </w:r>
      <w:r>
        <w:t xml:space="preserve">—la cuarta rama del blueprint no está en el plan— junto a PF-1 (§2.1).</w:t>
      </w:r>
    </w:p>
    <w:p>
      <w:pPr>
        <w:pStyle w:val="FirstParagraph"/>
      </w:pPr>
      <w:r>
        <w:rPr>
          <w:bCs/>
          <w:b/>
        </w:rPr>
        <w:t xml:space="preserve">Decisiones de Gerencia a fechar: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Nº 43</w:t>
      </w:r>
      <w:r>
        <w:t xml:space="preserve">, servicio en sitio: dentro o fuera del alcance de 2026. Si es dentro, el maestro exige levantar el as-is primero, y eso es una tanda de campo que hoy no existe.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catalogo-equipos</w:t>
      </w:r>
      <w:r>
        <w:t xml:space="preserve">: tanda propia o absorción declarada por F1D-01 (§2.2). No puede quedar como está, con 354 equipos sembrados y sin dueño.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Triaje de los ocho puntos</w:t>
      </w:r>
      <w:r>
        <w:t xml:space="preserve"> </w:t>
      </w:r>
      <w:r>
        <w:t xml:space="preserve">de §2.7: cuáles entran en Fase 1 con tanda, cuáles se declaran Fase 2 por escrito. Los tres con fecha de vencimiento cercana son el</w:t>
      </w:r>
      <w:r>
        <w:t xml:space="preserve"> </w:t>
      </w:r>
      <w:r>
        <w:rPr>
          <w:bCs/>
          <w:b/>
        </w:rPr>
        <w:t xml:space="preserve">56</w:t>
      </w:r>
      <w:r>
        <w:t xml:space="preserve"> </w:t>
      </w:r>
      <w:r>
        <w:t xml:space="preserve">(bloquea F1D-07, S47), el</w:t>
      </w:r>
      <w:r>
        <w:t xml:space="preserve"> </w:t>
      </w:r>
      <w:r>
        <w:rPr>
          <w:bCs/>
          <w:b/>
        </w:rPr>
        <w:t xml:space="preserve">47</w:t>
      </w:r>
      <w:r>
        <w:t xml:space="preserve"> </w:t>
      </w:r>
      <w:r>
        <w:t xml:space="preserve">(bloquea el criterio de F1D-06, S46) y el</w:t>
      </w:r>
      <w:r>
        <w:t xml:space="preserve"> </w:t>
      </w:r>
      <w:r>
        <w:rPr>
          <w:bCs/>
          <w:b/>
        </w:rPr>
        <w:t xml:space="preserve">53</w:t>
      </w:r>
      <w:r>
        <w:t xml:space="preserve"> </w:t>
      </w:r>
      <w:r>
        <w:t xml:space="preserve">(el informe trimestral cuelga de la convención de subOV ya decidida).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Nº 61</w:t>
      </w:r>
      <w:r>
        <w:t xml:space="preserve">, mecanismo de incorporación de actas. Es el punto que habría cazado la sesión del 11/09 que no consta.</w:t>
      </w:r>
    </w:p>
    <w:p>
      <w:r>
        <w:pict>
          <v:rect style="width:0;height:1.5pt" o:hralign="center" o:hrstd="t" o:hr="t"/>
        </w:pict>
      </w:r>
    </w:p>
    <w:bookmarkEnd w:id="30"/>
    <w:bookmarkStart w:id="31" w:name="nota-de-método"/>
    <w:p>
      <w:pPr>
        <w:pStyle w:val="Heading2"/>
      </w:pPr>
      <w:r>
        <w:t xml:space="preserve">4 · Nota de método</w:t>
      </w:r>
    </w:p>
    <w:p>
      <w:pPr>
        <w:pStyle w:val="FirstParagraph"/>
      </w:pPr>
      <w:r>
        <w:t xml:space="preserve">Las cifras de este informe son comprobables con un comando cada una:</w:t>
      </w:r>
      <w:r>
        <w:t xml:space="preserve"> </w:t>
      </w:r>
      <w:r>
        <w:rPr>
          <w:rStyle w:val="VerbatimChar"/>
        </w:rPr>
        <w:t xml:space="preserve">grep -ci "en sitio"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grep -ci "catalogo-equipos"</w:t>
      </w:r>
      <w:r>
        <w:t xml:space="preserve"> </w:t>
      </w:r>
      <w:r>
        <w:t xml:space="preserve">sobre el plan devuelven 0;</w:t>
      </w:r>
      <w:r>
        <w:t xml:space="preserve"> </w:t>
      </w:r>
      <w:r>
        <w:rPr>
          <w:rStyle w:val="VerbatimChar"/>
        </w:rPr>
        <w:t xml:space="preserve">grep -c "14224"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grep -ci "trimestr"</w:t>
      </w:r>
      <w:r>
        <w:t xml:space="preserve"> </w:t>
      </w:r>
      <w:r>
        <w:t xml:space="preserve">devuelven 0; el cruce de</w:t>
      </w:r>
      <w:r>
        <w:t xml:space="preserve"> </w:t>
      </w:r>
      <w:r>
        <w:rPr>
          <w:rStyle w:val="VerbatimChar"/>
        </w:rPr>
        <w:t xml:space="preserve">openspec/specs/*/spec.md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config.yaml → capabilities</w:t>
      </w:r>
      <w:r>
        <w:t xml:space="preserve"> </w:t>
      </w:r>
      <w:r>
        <w:t xml:space="preserve">da 9 ficheros frente a 15 nombres, con 2 ficheros fuera de la lista; el barrido de puntos del Anexo D contra el plan se hizo sobre todas las apariciones de</w:t>
      </w:r>
      <w:r>
        <w:t xml:space="preserve"> </w:t>
      </w:r>
      <w:r>
        <w:rPr>
          <w:rStyle w:val="VerbatimChar"/>
        </w:rPr>
        <w:t xml:space="preserve">P&lt;n&gt;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nº &lt;n&gt;</w:t>
      </w:r>
      <w:r>
        <w:t xml:space="preserve">.</w:t>
      </w:r>
    </w:p>
    <w:p>
      <w:pPr>
        <w:pStyle w:val="BodyText"/>
      </w:pPr>
      <w:r>
        <w:t xml:space="preserve">Las tres cosas que este informe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afirma, y conviene que se vean: que los siete estados de espera extra carezcan de salida —no se ha comprobado, sólo se ha comprobado que nadie lo ha comprobado—; que IV-11 haya ocurrido en producción —la medición del 16/09 tiene población 1 y no dice nada—; y que la lista de §2.7 esté completa en su clasificación por fase, que es un triaje y lo firma quien decide el alcance, no quien lo barre.</w:t>
      </w:r>
    </w:p>
    <w:bookmarkEnd w:id="31"/>
    <w:bookmarkEnd w:id="32"/>
    <w:sectPr>
      <w:pgSz w:h="16838" w:w="11906"/>
      <w:pgMar w:bottom="1134" w:footer="708" w:gutter="0" w:header="708" w:left="1021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2026-09-17T21:26:34Z</dcterms:created>
  <dcterms:modified xsi:type="dcterms:W3CDTF">2026-09-17T21:26:34Z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