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nil" w:color="FFFFFF" w:sz="0" w:space="0"/>
              <w:left w:val="nil" w:color="FFFFFF" w:sz="0" w:space="0"/>
              <w:bottom w:val="nil" w:color="FFFFFF" w:sz="0" w:space="0"/>
              <w:right w:val="nil" w:color="FFFFFF" w:sz="0" w:space="0"/>
            </w:tcBorders>
            <w:shd w:fill="0D1B2A" w:val="clear" w:color="auto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pStyle w:val="EndnoteText"/>
              <w:spacing w:after="80"/>
              <w:jc w:val="center"/>
            </w:pPr>
            <w:r>
              <w:rPr>
                <w:rFonts w:ascii="Arial" w:cs="Arial" w:eastAsia="Arial" w:hAnsi="Arial"/>
                <w:b/>
                <w:sz w:val="26"/>
                <w:szCs w:val="36"/>
                <w:i/>
                <w:color w:val="00B4A6"/>
              </w:rPr>
              <w:t xml:space="preserve">SQUAD HACKATHON 3.0  —  SUBMISSION DOCUMENT  |  CHALLENGE 01</w:t>
            </w:r>
          </w:p>
          <w:p>
            <w:pPr>
              <w:pStyle w:val="EndnoteText"/>
              <w:spacing w:after="60"/>
              <w:jc w:val="center"/>
            </w:pPr>
            <w:r>
              <w:rPr>
                <w:rFonts w:ascii="Arial" w:cs="Arial" w:eastAsia="Arial" w:hAnsi="Arial"/>
                <w:b/>
                <w:sz w:val="19"/>
                <w:szCs w:val="20"/>
                <w:i/>
              </w:rPr>
              <w:t>FinCore AI</w:t>
            </w:r>
          </w:p>
          <w:p>
            <w:pPr>
              <w:pStyle w:val="EndnoteText"/>
              <w:spacing w:after="80"/>
              <w:jc w:val="center"/>
            </w:pPr>
            <w:r>
              <w:rPr>
                <w:rFonts w:ascii="Arial" w:cs="Arial" w:eastAsia="Arial" w:hAnsi="Arial"/>
                <w:sz w:val="19"/>
                <w:szCs w:val="26"/>
                <w:b/>
                <w:color w:val="00B4A6"/>
              </w:rPr>
              <w:t xml:space="preserve">Product Requirements Document  —  Version 3.0</w:t>
            </w:r>
          </w:p>
          <w:p>
            <w:pPr>
              <w:pStyle w:val="EndnoteText"/>
              <w:spacing w:after="80"/>
              <w:jc w:val="center"/>
            </w:pPr>
            <w:r>
              <w:rPr>
                <w:rFonts w:ascii="Arial" w:cs="Arial" w:eastAsia="Arial" w:hAnsi="Arial"/>
                <w:i/>
                <w:sz w:val="19"/>
                <w:szCs w:val="20"/>
                <w:b/>
                <w:color w:val="F0A500"/>
              </w:rPr>
              <w:t>"The Dual-Lens Engine": Physics-Informed Trust &amp; Real-Time Truth</w:t>
            </w:r>
          </w:p>
        </w:tc>
      </w:tr>
    </w:tbl>
    <w:p>
      <w:pPr>
        <w:pStyle w:val="EndnoteText"/>
        <w:spacing w:after="160" w:before="20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Theme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Smart Systems: The Intelligent Economy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Challenge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 xml:space="preserve">Challenge 01  —  "Proof of Life"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Organised By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 xml:space="preserve">GTCo / HabariPay  —  Squad Hackathon 3.0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Document Type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 xml:space="preserve">Product Requirements Document (PRD)  —  V3.0 Post-Fraud Research Revision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Version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 xml:space="preserve">3.0  —  Final Submission (Post-Fraud Research Revision)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Date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May 2026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APIs Used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 xml:space="preserve">Squad Virtual Accounts · Transfer · Webhooks · Payment Gateway  |  Mono Connect  |  Dojah KYC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AI Stack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 xml:space="preserve">PINN Residual Auditor  ·  PI-VAE  ·  GNN  ·  Random Forest  ·  LSTM</w:t>
            </w:r>
          </w:p>
        </w:tc>
      </w:tr>
    </w:tbl>
    <w:p>
      <w:pPr>
        <w:pStyle w:val="EndnoteText"/>
        <w:spacing w:after="8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EndnoteText"/>
        <w:jc w:val="center"/>
      </w:pPr>
      <w:r>
        <w:rPr>
          <w:rFonts w:ascii="Arial" w:cs="Arial" w:eastAsia="Arial" w:hAnsi="Arial"/>
          <w:sz w:val="18"/>
          <w:szCs w:val="36"/>
          <w:i/>
          <w:b/>
          <w:color w:val="C0392B"/>
        </w:rPr>
        <w:t xml:space="preserve">CONFIDENTIAL  —  HACKATHON USE ONLY</w:t>
      </w:r>
    </w:p>
    <w:p>
      <w:pPr>
        <w:pStyle w:val="EndnoteText"/>
      </w:pPr>
      <w:r>
        <w:rPr>
          <w:rFonts w:ascii="Arial" w:hAnsi="Arial" w:eastAsia="Arial" w:cs="Arial"/>
          <w:sz w:val="20"/>
          <w:szCs w:val="20"/>
        </w:rP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sz w:val="28"/>
          <w:szCs w:val="16"/>
          <w:i/>
          <w:color w:val="FFFFFF"/>
        </w:rPr>
        <w:t>PART A — Principal Architect Audit Report</w:t>
      </w:r>
    </w:p>
    <w:p>
      <w:pPr>
        <w:pStyle w:val="EndnoteText"/>
        <w:pBdr>
          <w:bottom w:val="single" w:color="6A0DAD" w:sz="8" w:space="1"/>
        </w:pBdr>
        <w:spacing w:after="0" w:before="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This audit was conducted against FinCore AI v1.0 PRD, the GTCo Squad Hackathon 3.0 Challenge Guide, and the proposed Physics-Informed Neural Network (PINN) strategy. All findings directly inform the updated architecture in Part B.</w:t>
      </w:r>
    </w:p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18"/>
          <w:szCs w:val="18"/>
          <w:color w:val="00B4A6"/>
        </w:rPr>
        <w:t xml:space="preserve">A.1  The Final Word — Is the PINN Strategy a Winner?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6A0DAD" w:sz="12" w:space="0"/>
              <w:left w:val="single" w:color="6A0DAD" w:sz="12" w:space="0"/>
              <w:bottom w:val="single" w:color="6A0DAD" w:sz="2" w:space="0"/>
              <w:right w:val="single" w:color="6A0DAD" w:sz="2" w:space="0"/>
            </w:tcBorders>
            <w:shd w:fill="F3E8FF" w:val="clear" w:color="auto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EndnoteText"/>
              <w:spacing w:after="40" w:before="0"/>
            </w:pPr>
            <w:r>
              <w:rPr>
                <w:rFonts w:ascii="Arial" w:cs="Arial" w:eastAsia="Arial" w:hAnsi="Arial"/>
                <w:b/>
                <w:sz w:val="19"/>
                <w:szCs w:val="26"/>
                <w:color w:val="00B4A6"/>
              </w:rPr>
              <w:t xml:space="preserve">⚖  VERDICT: CONDITIONALLY BRILLIANT — WITH CRITICAL SCOPING</w:t>
            </w:r>
          </w:p>
          <w:p>
            <w:pPr>
              <w:pStyle w:val="EndnoteText"/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color w:val="0D1B2A"/>
              </w:rPr>
              <w:t>The Physics-Informed approach is NOT too complex for the hackathon. It IS your intellectual edge. The v2.0 audit established the PINN as a post-inference Residual Auditor. v3.0 advances this further with a Dual-Lens Architecture: Macro-Laws (C-I, C-II, C-III) for long-term credit underwriting and Micro-Laws (F-I to F-V) for real-time fraud suppression. This is not just technically deep — it is a headline that wins rooms: "We define the Physics of Trust."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judges are evaluating AI Technical Depth at 30% weight for Challenge 01. A PINN-based anomaly detection layer that enforces "physical laws" of financial flows is not just technically deep — it is a narrative that non-technical judges can understand and emotionally engage with. "Our system treats financial fraud like a physics violation" is a headline that wins rooms.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b/>
          <w:sz w:val="19"/>
          <w:szCs w:val="19"/>
          <w:color w:val="C0392B"/>
        </w:rPr>
        <w:t xml:space="preserve">The risk is not complexity. </w:t>
      </w:r>
      <w:r>
        <w:rPr>
          <w:rFonts w:ascii="Arial" w:cs="Arial" w:eastAsia="Arial" w:hAnsi="Arial"/>
          <w:sz w:val="19"/>
          <w:szCs w:val="19"/>
          <w:color w:val="0D1B2A"/>
        </w:rPr>
        <w:t>The risk is incomplete implementation. The audit below identifies exactly which PINN laws are demo-ready in 48 hours and which require post-hackathon work.</w:t>
      </w:r>
    </w:p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18"/>
          <w:szCs w:val="18"/>
          <w:color w:val="00B4A6"/>
        </w:rPr>
        <w:t xml:space="preserve">A.2  Dual-Lens PINN Audit — Macro-Laws &amp; Micro-Laws Feasibility</w:t>
      </w:r>
    </w:p>
    <w:p>
      <w:pPr>
        <w:pStyle w:val="EndnoteText"/>
        <w:spacing w:after="120" w:before="6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1400"/>
        <w:gridCol w:w="1626"/>
      </w:tblGrid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Law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Formula / Concept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Data Dependency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48hr Status</w:t>
            </w:r>
          </w:p>
        </w:tc>
        <w:tc>
          <w:tcPr>
            <w:tcW w:w="1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Risk Level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Law of Inertia (Velocity)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/>
                <w:sz w:val="36"/>
                <w:szCs w:val="18"/>
                <w:color w:val="0D1B2A"/>
              </w:rPr>
              <w:t>v_i = ΔB / Δt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Mono 24-month balance history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✅ Demo-Ready</w:t>
            </w:r>
          </w:p>
        </w:tc>
        <w:tc>
          <w:tcPr>
            <w:tcW w:w="1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LOW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Law of Conservation (Mass)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/>
                <w:sz w:val="36"/>
                <w:szCs w:val="18"/>
                <w:color w:val="0D1B2A"/>
              </w:rPr>
              <w:t>ΔB = Inflow − Outflow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Squad Webhook payload (hash-verified)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✅ Demo-Ready</w:t>
            </w:r>
          </w:p>
        </w:tc>
        <w:tc>
          <w:tcPr>
            <w:tcW w:w="1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D4A017"/>
              </w:rPr>
              <w:t>MEDIUM*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Law of Entropy (Categorisation)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/>
                <w:sz w:val="36"/>
                <w:szCs w:val="18"/>
                <w:color w:val="0D1B2A"/>
              </w:rPr>
              <w:t>H = −Σ p(x) log p(x)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NLP on Mono transaction narrations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✅ Demo-Ready</w:t>
            </w:r>
          </w:p>
        </w:tc>
        <w:tc>
          <w:tcPr>
            <w:tcW w:w="1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LOW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Law of Resonance (Pulse)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/>
                <w:sz w:val="36"/>
                <w:szCs w:val="18"/>
                <w:color w:val="0D1B2A"/>
              </w:rPr>
              <w:t>FFT on timestamp deltas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Mono timestamp metadata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D4A017"/>
              </w:rPr>
              <w:t>⚠ Partial Demo</w:t>
            </w:r>
          </w:p>
        </w:tc>
        <w:tc>
          <w:tcPr>
            <w:tcW w:w="1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D4A017"/>
              </w:rPr>
              <w:t>MEDIUM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Law of Grounding (Mass-Anchor)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/>
                <w:sz w:val="36"/>
                <w:szCs w:val="18"/>
                <w:color w:val="0D1B2A"/>
              </w:rPr>
              <w:t>C_score ∝ Avg Daily Balance (90d)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Mono balance snapshots × 90 days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✅ Demo-Ready</w:t>
            </w:r>
          </w:p>
        </w:tc>
        <w:tc>
          <w:tcPr>
            <w:tcW w:w="1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LOW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F0A500" w:sz="12" w:space="0"/>
              <w:left w:val="single" w:color="F0A500" w:sz="12" w:space="0"/>
              <w:bottom w:val="single" w:color="F0A500" w:sz="2" w:space="0"/>
              <w:right w:val="single" w:color="F0A500" w:sz="2" w:space="0"/>
            </w:tcBorders>
            <w:shd w:fill="FFF3CD" w:val="clear" w:color="auto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EndnoteText"/>
              <w:spacing w:after="40" w:before="0"/>
            </w:pPr>
            <w:r>
              <w:rPr>
                <w:rFonts w:ascii="Arial" w:cs="Arial" w:eastAsia="Arial" w:hAnsi="Arial"/>
                <w:b/>
                <w:sz w:val="18"/>
                <w:szCs w:val="19"/>
                <w:color w:val="1A7A4A"/>
              </w:rPr>
              <w:t>* Conservation Law — Critical Blind Spot: Squad Webhook Latency</w:t>
            </w:r>
          </w:p>
          <w:p>
            <w:pPr>
              <w:pStyle w:val="EndnoteText"/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color w:val="0D1B2A"/>
              </w:rPr>
              <w:t>The Law of Conservation assumes real-time webhook delivery. In practice, Squad webhooks carry a P95 latency window of 800ms–3s under load. A transaction can appear as a "ghost spike" (balance change with no verified inflow) during this window, generating false-positive physics violations. MITIGATION: Implement a 5-second Reconciliation Grace Window before flagging a Conservation violation. This converts a potential false-positive flood into a robust, asynchronous verification pass.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18"/>
          <w:szCs w:val="18"/>
          <w:color w:val="00B4A6"/>
        </w:rPr>
        <w:t xml:space="preserve">A.3  Data Blind Spots in the Nigerian Ecosystem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19"/>
          <w:szCs w:val="20"/>
          <w:color w:val="0D1B2A"/>
        </w:rPr>
        <w:t>Mono Connect v2 —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Transaction narrations are non-standardised across Nigerian banks. GTBank uses structured codes; fintechs use free-text. Your Entropy NLP must handle 12+ narration schemas. Recommend a pre-processing normalisation layer using regex rule sets before Shannon entropy calculation.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Mono v2 does NOT provide real-time balance snapshots. The /accounts/{id}/transactions endpoint returns settled transactions with a T+0 to T+1 settlement lag on some banks. This directly impacts the Law of Inertia calculation for same-day velocity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The 24-month history is available but not guaranteed for all linked institutions. Tier-3 banks on the Mono network may return only 6–12 months. The ARIMA/LSTM model must handle variable-length time series without breaking — use zero-padding or interpolation in the preprocessing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Mono does NOT provide pending transaction states. A transfer initiated but not yet settled is invisible to the aggregation layer. This is a structural gap for the Conservation Law during high-frequency trading windows.</w:t>
      </w:r>
    </w:p>
    <w:p>
      <w:pPr>
        <w:pStyle w:val="EndnoteText"/>
        <w:spacing w:after="120" w:before="6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19"/>
          <w:szCs w:val="20"/>
          <w:color w:val="0D1B2A"/>
        </w:rPr>
        <w:t>Squad API — Webhook Integrity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Squad webhook payloads include a transaction_hash for signature verification — this is your Conservation Law anchor. However, re-delivery on network failure uses the SAME hash, meaning duplicate processing must be handled with an idempotency key store (Redis recommended).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Squad Virtual Account creation requires a business_name and customer_identifier. For thin-file SMEs without registered business names, you will need to implement a fallback that uses the BVN-verified individual name. Document this edge case explicitly for judges — it shows domain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The Squad /transfer endpoint enforces a daily transaction limit per virtual account. Credit disbursement above this limit requires manual intervention. Scope your demo disbursements to sub-₦500k to avoid hitting sandbox limits.</w:t>
      </w:r>
    </w:p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18"/>
          <w:szCs w:val="18"/>
          <w:color w:val="00B4A6"/>
        </w:rPr>
        <w:t xml:space="preserve">A.4  Strategy Validation — The Dual-Lens Re-Calibrator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1A7A4A" w:sz="12" w:space="0"/>
              <w:left w:val="single" w:color="1A7A4A" w:sz="12" w:space="0"/>
              <w:bottom w:val="single" w:color="1A7A4A" w:sz="2" w:space="0"/>
              <w:right w:val="single" w:color="1A7A4A" w:sz="2" w:space="0"/>
            </w:tcBorders>
            <w:shd w:fill="E8F5E9" w:val="clear" w:color="auto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EndnoteText"/>
              <w:spacing w:after="40" w:before="0"/>
            </w:pPr>
            <w:r>
              <w:rPr>
                <w:rFonts w:ascii="Arial" w:cs="Arial" w:eastAsia="Arial" w:hAnsi="Arial"/>
                <w:b/>
                <w:sz w:val="19"/>
                <w:szCs w:val="19"/>
                <w:color w:val="1A7A4A"/>
              </w:rPr>
              <w:t>✅ CONFIRMED: The Dual-Lens Re-Calibrator Architecture</w:t>
            </w:r>
          </w:p>
          <w:p>
            <w:pPr>
              <w:pStyle w:val="EndnoteText"/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color w:val="0D1B2A"/>
              </w:rPr>
              <w:t>A full end-to-end PINN would require embedding physical constraints into the neural network loss function during training — impossible in 48 hours with real Nigerian financial data that has no physics ground truth labels. The Dual-Lens re-calibrator approach splits PINN duties: Macro-Laws (C-I through C-III) anchor credit decisions to verifiable liquid "mass," while Micro-Laws (F-I through F-V) act as a Real-Time Shield auditing individual transactions. This is precisely how Physics-Informed methods are used in applied engineering. It is theoretically rigorous AND demo-safe.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key architectural insight is the Dual-Lens: your Random Forest (credit) and VAE (fraud) models are learned approximators operating on different time horizons. Macro-Laws (C-I to C-III) enforce physical constraints on credit decisions — anchoring loan limits to verifiable liquid "mass." Micro-Laws (F-I to F-V) act as a real-time shield detecting SIM-swaps, account emptying, mule networks, and entropy shocks. The PINN Residual Layer enforces both lens-sets as hard filters. This is explainable AI in its purest form — and Challenge 01 judges will reward that narrative heavily.</w:t>
      </w:r>
    </w:p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18"/>
          <w:szCs w:val="18"/>
          <w:color w:val="00B4A6"/>
        </w:rPr>
        <w:t xml:space="preserve">A.5  Optimised 48-Hour Execution Sequence (Dual-Lens Sprint)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This sequence is designed for a team with one mathematician (plots/models) and one coding agent (integration/backend). It front-loads demo-critical components and back-loads refinements.</w:t>
      </w:r>
    </w:p>
    <w:p>
      <w:pPr>
        <w:pStyle w:val="EndnoteText"/>
        <w:spacing w:after="120" w:before="6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226"/>
        <w:gridCol w:w="2000"/>
      </w:tblGrid>
      <w:t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Hour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Owner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Task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Output / Milestone</w:t>
            </w:r>
          </w:p>
        </w:tc>
      </w:tr>
      <w:t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0–4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Both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Scaffold microservices skeleton. Connect Mono SDK. Implement BVN/NIN onboarding via Dojah. Pull 6-month Mono transaction history for 3 test SME profiles.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Live data in pipeline ✓</w:t>
            </w:r>
          </w:p>
        </w:tc>
      </w:tr>
      <w:t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4–8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Mathematician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PINN Laws 1, 2, 3: Code the Velocity, Conservation, and Entropy residual functions in Python. Generate static plots of each law applied to the Mono test data. These become your demo visuals.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3 PINN plots ready ✓</w:t>
            </w:r>
          </w:p>
        </w:tc>
      </w:tr>
      <w:t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4–8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Coder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Squad API: provision virtual accounts for all 3 test SMEs. Configure webhook endpoint with hash-verification and idempotency store. Implement 5s Reconciliation Grace Window.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Squad webhooks live ✓</w:t>
            </w:r>
          </w:p>
        </w:tc>
      </w:tr>
      <w:t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8–16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Mathematician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Train Random Forest credit model on feature set from Section 4.3. Train VAE on Mono transaction metadata (amount, time, geo). Generate pre-computed GNN threat graph for demo.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3 models trained ✓</w:t>
            </w:r>
          </w:p>
        </w:tc>
      </w:tr>
      <w:t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8–16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Coder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Build dashboard: Multi-bank aggregation view, account label selector, cash flow forecast chart. Expose ML models via FastAPI internal endpoints. Wire PINN Residual Layer as middleware.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Working dashboard ✓</w:t>
            </w:r>
          </w:p>
        </w:tc>
      </w:tr>
      <w:t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16–24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Both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Integration pass: trigger a live "ghost spike" transaction to demonstrate Conservation Law violation detection. Show real-time fraud flag + Dojah biometric step-up. Run credit scoring demo end-to-end.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Full demo flow ✓</w:t>
            </w:r>
          </w:p>
        </w:tc>
      </w:tr>
      <w:t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24–36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Both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Pitch deck (10 slides). One-pager PDF. Rehearse demo 3× minimum. Document GitHub repo.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Submission ready ✓</w:t>
            </w:r>
          </w:p>
        </w:tc>
      </w:tr>
      <w:t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22"/>
                <w:szCs w:val="18"/>
                <w:color w:val="0D1B2A"/>
              </w:rPr>
              <w:t>36–48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Both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Buffer: fix critical bugs, polish UI, prepare Q&amp;A answers covering model bias, data privacy, CBN compliance, and scale assumptions.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Delivery-ready ✓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00B4A6" w:sz="12" w:space="0"/>
              <w:left w:val="single" w:color="00B4A6" w:sz="12" w:space="0"/>
              <w:bottom w:val="single" w:color="00B4A6" w:sz="2" w:space="0"/>
              <w:right w:val="single" w:color="00B4A6" w:sz="2" w:space="0"/>
            </w:tcBorders>
            <w:shd w:fill="EFF8F7" w:val="clear" w:color="auto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EndnoteText"/>
              <w:spacing w:after="40" w:before="0"/>
            </w:pPr>
            <w:r>
              <w:rPr>
                <w:rFonts w:ascii="Arial" w:cs="Arial" w:eastAsia="Arial" w:hAnsi="Arial"/>
                <w:b/>
                <w:sz w:val="18"/>
                <w:szCs w:val="18"/>
                <w:i/>
                <w:color w:val="4A5568"/>
              </w:rPr>
              <w:t>🎯 Demo Sequencing Advice</w:t>
            </w:r>
          </w:p>
          <w:p>
            <w:pPr>
              <w:pStyle w:val="EndnoteText"/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color w:val="0D1B2A"/>
              </w:rPr>
              <w:t>Your demo must show the "Proof of Life" narrative clearly: (1) Onboard an SME with BVN — Dojah verifies identity. (2) Link 3 bank accounts via Mono — dashboard aggregates in real time. (3) Trigger a suspicious transaction — the PINN Conservation Law detects a "ghost spike." (4) System halts the transaction and prompts biometric re-authentication. (5) Credit Engine produces a trust score on 100+ signals. This 5-step flow should take under 4 minutes, leaving 1 minute for Q&amp;A setup.</w:t>
            </w:r>
          </w:p>
        </w:tc>
      </w:tr>
    </w:tbl>
    <w:p>
      <w:pPr>
        <w:pStyle w:val="EndnoteText"/>
      </w:pPr>
      <w:r>
        <w:rPr>
          <w:rFonts w:ascii="Arial" w:hAnsi="Arial" w:eastAsia="Arial" w:cs="Arial"/>
          <w:sz w:val="20"/>
          <w:szCs w:val="20"/>
        </w:rP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sz w:val="26"/>
          <w:szCs w:val="36"/>
          <w:i/>
          <w:color w:val="00B4A6"/>
        </w:rPr>
        <w:t>PART B — FinCore AI v3.0 — Updated Product Requirements Document</w:t>
      </w:r>
    </w:p>
    <w:p>
      <w:pPr>
        <w:pStyle w:val="EndnoteText"/>
        <w:pBdr>
          <w:bottom w:val="single" w:color="00B4A6" w:sz="8" w:space="1"/>
        </w:pBdr>
        <w:spacing w:after="0" w:before="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sz w:val="26"/>
          <w:szCs w:val="36"/>
          <w:i/>
          <w:color w:val="00B4A6"/>
        </w:rPr>
        <w:t>1. Executive Summary — The Dual-Lens Engine</w:t>
      </w:r>
    </w:p>
    <w:p>
      <w:pPr>
        <w:pStyle w:val="EndnoteText"/>
        <w:pBdr>
          <w:bottom w:val="single" w:color="00B4A6" w:sz="8" w:space="1"/>
        </w:pBdr>
        <w:spacing w:after="0" w:before="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FinCore AI v3.0 is the unified intelligent financial verification operating system for Nigerian SMEs and individual users, resubmitted under Challenge 01 — "Proof of Life" — of the GTCo Squad Hackathon 3.0. This version introduces the Dual-Lens PINN Architecture: Macro-Laws for long-term credit underwriting and Micro-Laws for real-time fraud suppression. The platform answers one foundational question: is this financial entity, transaction, or business who and what it claims to be?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This version integrates the findings of the Principal Architect Audit (Part A) and Post-Fraud Research into a hardened, demo-safe technical architecture. The PINN strategy is elevated into a Dual-Lens framework: Macro-Laws (C-I: Inertia, C-II: Conservation, C-III: Grounding) anchor credit decisions to verifiable "Trust Mass," while Micro-Laws (F-I: Identity Continuity, F-II: Mass Conservation, F-III: Momentum Drain, F-IV: Network Gravity, F-V: Entropy Shock) form a Real-Time Shield against fraud.</w:t>
      </w:r>
    </w:p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Module</w:t>
            </w:r>
          </w:p>
        </w:tc>
        <w:tc>
          <w:tcPr>
            <w:tcW w:w="7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Primary Capability — Challenge 01 Alignment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01 Multi-Bank Aggregation</w:t>
            </w:r>
          </w:p>
        </w:tc>
        <w:tc>
          <w:tcPr>
            <w:tcW w:w="7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Unified identity-verified dashboard — "Proof of Identity" via BVN/NIN/Dojah biometrics and Mono open banking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02 Cash Flow Intelligence</w:t>
            </w:r>
          </w:p>
        </w:tc>
        <w:tc>
          <w:tcPr>
            <w:tcW w:w="7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"Proof of Solvency" — ARIMA/LSTM forecasting + PINN Conservation Law verifying every ₦ movement against Squad webhook payload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03 Credit Engine</w:t>
            </w:r>
          </w:p>
        </w:tc>
        <w:tc>
          <w:tcPr>
            <w:tcW w:w="7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"Proof of Creditworthiness" — Random Forest on 100+ signals re-calibrated by PINN Macro-Laws (C-I: Inertia, C-II: Conservation, C-III: Grounding) anchoring credit to verifiable "Trust Mass"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04 Fraud Shield</w:t>
            </w:r>
          </w:p>
        </w:tc>
        <w:tc>
          <w:tcPr>
            <w:tcW w:w="7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"Proof of Life" Core — PI-VAE anomaly detection + GNN threat network + PINN Micro-Laws (F-I to F-V) Real-Time Shield detecting SIM-swaps, account emptying, mule networks, and entropy shocks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05 Tax Compliance</w:t>
            </w:r>
          </w:p>
        </w:tc>
        <w:tc>
          <w:tcPr>
            <w:tcW w:w="7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"Proof of Regulatory Standing" — 2026 FIRS ATRS-compliant UBL 2.1 XML automated filing; post-hackathon delivery scope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00B4A6" w:sz="12" w:space="0"/>
              <w:left w:val="single" w:color="00B4A6" w:sz="12" w:space="0"/>
              <w:bottom w:val="single" w:color="00B4A6" w:sz="2" w:space="0"/>
              <w:right w:val="single" w:color="00B4A6" w:sz="2" w:space="0"/>
            </w:tcBorders>
            <w:shd w:fill="EFF8F7" w:val="clear" w:color="auto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EndnoteText"/>
              <w:spacing w:after="40" w:before="0"/>
            </w:pPr>
            <w:r>
              <w:rPr>
                <w:rFonts w:ascii="Arial" w:cs="Arial" w:eastAsia="Arial" w:hAnsi="Arial"/>
                <w:b/>
                <w:sz w:val="19"/>
                <w:szCs w:val="19"/>
                <w:color w:val="00B4A6"/>
              </w:rPr>
              <w:t>Challenge 01 Alignment — "Proof of Life" Core Thesis</w:t>
            </w:r>
          </w:p>
          <w:p>
            <w:pPr>
              <w:pStyle w:val="EndnoteText"/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color w:val="0D1B2A"/>
              </w:rPr>
              <w:t>Where traditional KYC checks identity documents once at onboarding and stops, FinCore AI continuously re-proves the "liveness" of every financial entity through ongoing behavioural verification. The Dual-Lens PINN Architecture treats credit decisions as "physical mass" problems (Macro-Laws) and fraud detection as "physics violation" events (Micro-Laws). Every loan approved and every fraud blocked is backed by a mathematical proof of Financial Integrity — this is the Physics of Trust.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sz w:val="36"/>
          <w:szCs w:val="36"/>
          <w:color w:val="0D1B2A"/>
        </w:rPr>
        <w:t>2. Problem Space — "Proof of Life" Context</w:t>
      </w:r>
    </w:p>
    <w:p>
      <w:pPr>
        <w:pStyle w:val="EndnoteText"/>
        <w:pBdr>
          <w:bottom w:val="single" w:color="00B4A6" w:sz="8" w:space="1"/>
        </w:pBdr>
        <w:spacing w:after="0" w:before="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26"/>
          <w:szCs w:val="26"/>
          <w:color w:val="00B4A6"/>
        </w:rPr>
        <w:t xml:space="preserve">2.1  The Nigerian Financial Verification Crisis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Nigeria's financial ecosystem faces a systemic trust problem that no single verification layer has solved. Ghost workers cost government payrolls an estimated ₦1.2 trillion annually. Banking fraud losses reached ₦52.26 billion in 2024. Infostealer malware rose 66% in 2025, affecting 29% of Nigerian users. AI-driven phishing is projected to intensify 70% through 2026.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verification gap has three distinct dimensions that FinCore AI addresses simultaneously: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Identity Verification Gap: BVN/NIN exist but are not continuously re-validated. A verified identity at T=0 provides no assurance at T=6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Transaction Authenticity Gap: Rule-based fraud detection has high false-positive rates and is trivially defeated by behavioural mimicry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Financial Health Transparency Gap: 70% of Nigerian SMEs operate with opaque cash flows, making credit underwriting a trust problem as much as a data problem.</w:t>
      </w:r>
    </w:p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26"/>
          <w:szCs w:val="26"/>
          <w:color w:val="00B4A6"/>
        </w:rPr>
        <w:t xml:space="preserve">2.2  Why Existing Tools Fail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Failure Mode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Current Approach</w:t>
            </w:r>
          </w:p>
        </w:tc>
        <w:tc>
          <w:tcPr>
            <w:tcW w:w="3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FinCore AI Response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Static Identity Checks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One-time BVN match at onboarding</w:t>
            </w:r>
          </w:p>
        </w:tc>
        <w:tc>
          <w:tcPr>
            <w:tcW w:w="3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Continuous biometric re-attestation via Dojah + behavioural baselining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Rule-Based Fraud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Threshold alerts (₦ &gt; X = flag)</w:t>
            </w:r>
          </w:p>
        </w:tc>
        <w:tc>
          <w:tcPr>
            <w:tcW w:w="3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PINN Residual Auditor detects physics violations; VAE detects behavioural anomalies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Thin-File Credit Exclusion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Bureau score required; 60%+ of SMEs excluded</w:t>
            </w:r>
          </w:p>
        </w:tc>
        <w:tc>
          <w:tcPr>
            <w:tcW w:w="3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Random Forest on 100+ alternative signals; PINN Grounding anchors to real liquidity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Data Fragmentation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Per-bank visibility only</w:t>
            </w:r>
          </w:p>
        </w:tc>
        <w:tc>
          <w:tcPr>
            <w:tcW w:w="3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Mono 24-month cross-institution aggregation with labelled account intelligence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26"/>
          <w:szCs w:val="26"/>
          <w:color w:val="00B4A6"/>
        </w:rPr>
        <w:t xml:space="preserve">2.3  Regulatory Context — 2026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F0A500" w:sz="12" w:space="0"/>
              <w:left w:val="single" w:color="F0A500" w:sz="12" w:space="0"/>
              <w:bottom w:val="single" w:color="F0A500" w:sz="2" w:space="0"/>
              <w:right w:val="single" w:color="F0A500" w:sz="2" w:space="0"/>
            </w:tcBorders>
            <w:shd w:fill="FFF3CD" w:val="clear" w:color="auto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EndnoteText"/>
              <w:spacing w:after="40" w:before="0"/>
            </w:pPr>
            <w:r>
              <w:rPr>
                <w:rFonts w:ascii="Arial" w:cs="Arial" w:eastAsia="Arial" w:hAnsi="Arial"/>
                <w:b/>
                <w:sz w:val="19"/>
                <w:szCs w:val="19"/>
                <w:color w:val="F0A500"/>
              </w:rPr>
              <w:t>Regulatory Context — 2026 Nigerian Tax Reforms &amp; CBN AI Mandate</w:t>
            </w:r>
          </w:p>
          <w:p>
            <w:pPr>
              <w:pStyle w:val="EndnoteText"/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color w:val="0D1B2A"/>
              </w:rPr>
              <w:t>The 2026 Nigerian Tax Acts mandate digitalisation for SMEs (annual turnover ≤ ₦100M, fixed assets ≤ ₦250M): accurate digitised NIL returns with ₦100,000 penalty for first month of default plus ₦50,000 per subsequent month. The FIRS ATRS mandates real-time UBL 2.1 XML electronic invoicing. Simultaneously, the CBN has increasingly mandated deployment of automated, AI-driven monitoring systems capable of real-time behavioural analysis. FinCore AI's Fraud Shield directly satisfies the CBN mandate; Module 05 Tax Compliance satisfies the FIRS mandate.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sz w:val="36"/>
          <w:szCs w:val="36"/>
          <w:color w:val="0D1B2A"/>
        </w:rPr>
        <w:t>3. Product Overview and Conceptual Framework</w:t>
      </w:r>
    </w:p>
    <w:p>
      <w:pPr>
        <w:pStyle w:val="EndnoteText"/>
        <w:pBdr>
          <w:bottom w:val="single" w:color="00B4A6" w:sz="8" w:space="1"/>
        </w:pBdr>
        <w:spacing w:after="0" w:before="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FinCore AI v3.0 operates as an intelligent financial verification aggregator and autonomous trust engine. The platform intertwines three core data streams — continuous identity verification, open banking behavioural aggregation, and real-time payment verification — to transform static financial records into a dynamic, self-auditing proof system.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18"/>
          <w:szCs w:val="17"/>
          <w:color w:val="0D1B2A"/>
        </w:rPr>
        <w:t>The Credit Lens (Macro-Physics for Trust) — Module 03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For Module 03, the PINN acts as a Lean Auditor. It re-calibrates the Random Forest output to ensure SME growth trajectories are "physically" realistic over 24 months.</w:t>
      </w:r>
    </w:p>
    <w:p>
      <w:pPr>
        <w:pStyle w:val="EndnoteText"/>
        <w:spacing w:after="120" w:before="6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26"/>
          <w:szCs w:val="26"/>
          <w:color w:val="00B4A6"/>
        </w:rPr>
        <w:t xml:space="preserve">3.1  The Dual-Lens PINN Architecture — Macro-Laws &amp; Micro-Laws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central innovation of FinCore AI v3.0 is the Dual-Lens PINN Architecture. This is NOT a full end-to-end PINN. It is a post-inference constraint enforcer splitting PINN duties across two distinct time horizons. Macro-Laws (C-I to C-III) operate as a Lean Auditor on credit decisions, anchoring them to verifiable liquid "Trust Mass." Micro-Laws (F-I to F-V) operate as a Real-Time Shield on individual transactions, detecting impossible events from SIM-swaps to entropy shocks.</w:t>
      </w:r>
    </w:p>
    <w:p>
      <w:pPr>
        <w:pStyle w:val="EndnoteText"/>
        <w:spacing w:after="120" w:before="6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600"/>
        <w:gridCol w:w="2526"/>
      </w:tblGrid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6A0DAD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Macro-Law</w:t>
            </w:r>
          </w:p>
        </w:tc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6A0DAD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Formula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6A0DAD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Financial Reality (Credit Lens)</w:t>
            </w:r>
          </w:p>
        </w:tc>
        <w:tc>
          <w:tcPr>
            <w:tcW w:w="2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6A0DAD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Residual Response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C-I: Inertia</w:t>
            </w:r>
          </w:p>
        </w:tc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36"/>
                <w:szCs w:val="17"/>
                <w:color w:val="0D1B2A"/>
              </w:rPr>
              <w:t>v_i = ΔB / Δt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High velocity jumps (e.g., ₦20k to ₦1.5M) must be justified by historical growth gradients.</w:t>
            </w:r>
          </w:p>
        </w:tc>
        <w:tc>
          <w:tcPr>
            <w:tcW w:w="2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Alert: Unexplained velocity spike → step-up authentication required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C-II: Conservation</w:t>
            </w:r>
          </w:p>
        </w:tc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36"/>
                <w:szCs w:val="17"/>
                <w:color w:val="0D1B2A"/>
              </w:rPr>
              <w:t>ΔB = Inflow − Outflow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Every Naira must have a verified source (Squad Webhook match) to be counted as "Trust Mass."</w:t>
            </w:r>
          </w:p>
        </w:tc>
        <w:tc>
          <w:tcPr>
            <w:tcW w:w="2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Block: Ghost spike detected → transaction halted, CBN incident report triggered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C-III: Grounding</w:t>
            </w:r>
          </w:p>
        </w:tc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36"/>
                <w:szCs w:val="17"/>
                <w:color w:val="0D1B2A"/>
              </w:rPr>
              <w:t>C_score ∝ Avg Daily Balance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Anchors the loan limit to the actual liquid "Physical Mass" of the account.</w:t>
            </w:r>
          </w:p>
        </w:tc>
        <w:tc>
          <w:tcPr>
            <w:tcW w:w="2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Calibrate: Re-scales Random Forest credit output to physically possible range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  <w:color w:val="0D1B2A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19"/>
          <w:szCs w:val="22"/>
        </w:rPr>
        <w:t>The Fraud Lens (Micro-Physics for Truth) — Module 04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For Module 04, the PINN acts as a Real-Time Shield. It audits individual transactions against the "Laws of the Universe" to detect "impossible" events.</w:t>
      </w:r>
    </w:p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  <w:color w:val="0D1B2A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600"/>
        <w:gridCol w:w="2526"/>
      </w:tblGrid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Micro-Law</w:t>
            </w:r>
          </w:p>
        </w:tc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Formula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Threat Targeted (Fraud Lens)</w:t>
            </w:r>
          </w:p>
        </w:tc>
        <w:tc>
          <w:tcPr>
            <w:tcW w:w="2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Residual Response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F-I: Identity Continuity</w:t>
            </w:r>
          </w:p>
        </w:tc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36"/>
                <w:szCs w:val="17"/>
                <w:color w:val="0D1B2A"/>
              </w:rPr>
              <w:t>ICS = f(Device_Δ, Geo_Δ)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Detects SIM-Swaps and account takeovers by auditing physical trajectory (teleportation check).</w:t>
            </w:r>
          </w:p>
        </w:tc>
        <w:tc>
          <w:tcPr>
            <w:tcW w:w="2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Flag: Device/geolocation teleportation → Dojah biometric step-up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F-II: Mass Conservation</w:t>
            </w:r>
          </w:p>
        </w:tc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36"/>
                <w:szCs w:val="17"/>
                <w:color w:val="0D1B2A"/>
              </w:rPr>
              <w:t>B_obs − B_expected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Ghost transactions where observed balance diverges from Squad-webhook-expected balance.</w:t>
            </w:r>
          </w:p>
        </w:tc>
        <w:tc>
          <w:tcPr>
            <w:tcW w:w="2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Block: Transaction halted → CBN incident report, 5-second grace window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F-III: Momentum Drain</w:t>
            </w:r>
          </w:p>
        </w:tc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36"/>
                <w:szCs w:val="17"/>
                <w:color w:val="0D1B2A"/>
              </w:rPr>
              <w:t>∑ Outflow / Balance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Detects Account Emptying. Fraudsters drain funds faster than human historical "gravity" allows.</w:t>
            </w:r>
          </w:p>
        </w:tc>
        <w:tc>
          <w:tcPr>
            <w:tcW w:w="2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Block: Hard stop on outflow velocity exceeding historical baseline + Dojah scan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F-IV: Network Gravity</w:t>
            </w:r>
          </w:p>
        </w:tc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36"/>
                <w:szCs w:val="17"/>
                <w:color w:val="0D1B2A"/>
              </w:rPr>
              <w:t>GNN Node In-Degree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Detects Mule Networks. High gravity (many sources) and fast transit signal laundering rings.</w:t>
            </w:r>
          </w:p>
        </w:tc>
        <w:tc>
          <w:tcPr>
            <w:tcW w:w="2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Escalate: GNN cluster match → automatic account freeze, manual review queue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F-V: Entropy Shock</w:t>
            </w:r>
          </w:p>
        </w:tc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36"/>
                <w:szCs w:val="17"/>
                <w:color w:val="0D1B2A"/>
              </w:rPr>
              <w:t>ΔH / Δt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Detects Sudden Disorder. Spikes in transaction "chaos" signal a compromised account session.</w:t>
            </w:r>
          </w:p>
        </w:tc>
        <w:tc>
          <w:tcPr>
            <w:tcW w:w="2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7"/>
                <w:color w:val="0D1B2A"/>
              </w:rPr>
              <w:t>Flag: Entropy spike → step-up OTP + behavioural re-baseline triggered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26"/>
          <w:szCs w:val="26"/>
          <w:color w:val="00B4A6"/>
        </w:rPr>
        <w:t xml:space="preserve">3.2  Account Labelling System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structured account labelling framework remains a key differentiator. Users classify each linked account, and these labels act as context signals that directly inform which PINN laws are applied and which ML models receive the data.</w:t>
      </w:r>
    </w:p>
    <w:p>
      <w:pPr>
        <w:pStyle w:val="EndnoteText"/>
        <w:spacing w:after="120" w:before="6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2826"/>
      </w:tblGrid>
      <w:tr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0B4A6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Label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0B4A6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Recommended Use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0B4A6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PINN Laws Active</w:t>
            </w:r>
          </w:p>
        </w:tc>
        <w:tc>
          <w:tcPr>
            <w:tcW w:w="2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0B4A6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FinCore AI Behaviour</w:t>
            </w:r>
          </w:p>
        </w:tc>
      </w:tr>
      <w:tr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Personal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Day-to-day spending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Laws I, III, IV</w:t>
            </w:r>
          </w:p>
        </w:tc>
        <w:tc>
          <w:tcPr>
            <w:tcW w:w="2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Lifestyle vs. essential categorisation; personal cash flow projection</w:t>
            </w:r>
          </w:p>
        </w:tc>
      </w:tr>
      <w:tr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Business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Commercial operations &amp; revenue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All Five Laws</w:t>
            </w:r>
          </w:p>
        </w:tc>
        <w:tc>
          <w:tcPr>
            <w:tcW w:w="2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Primary credit signals; Squad virtual account reconciliation; full PINN audit</w:t>
            </w:r>
          </w:p>
        </w:tc>
      </w:tr>
      <w:tr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Emergency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Contingency reserve fund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Laws II, V</w:t>
            </w:r>
          </w:p>
        </w:tc>
        <w:tc>
          <w:tcPr>
            <w:tcW w:w="2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Reserve adequacy monitoring; excluded from operational burn calculations</w:t>
            </w:r>
          </w:p>
        </w:tc>
      </w:tr>
      <w:tr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Investment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Capital growth &amp; asset allocation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Law V only</w:t>
            </w:r>
          </w:p>
        </w:tc>
        <w:tc>
          <w:tcPr>
            <w:tcW w:w="2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Tracked under asset distribution view; excluded from operational forecasting</w:t>
            </w:r>
          </w:p>
        </w:tc>
      </w:tr>
      <w:tr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Savings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Goal-based or locked savings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Laws III, V</w:t>
            </w:r>
          </w:p>
        </w:tc>
        <w:tc>
          <w:tcPr>
            <w:tcW w:w="2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Savings velocity tracking; goal timeline projection on dashboard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sz w:val="36"/>
          <w:szCs w:val="36"/>
          <w:color w:val="0D1B2A"/>
        </w:rPr>
        <w:t>4. Module Specifications — v3.0</w:t>
      </w:r>
    </w:p>
    <w:p>
      <w:pPr>
        <w:pStyle w:val="EndnoteText"/>
        <w:pBdr>
          <w:bottom w:val="single" w:color="00B4A6" w:sz="8" w:space="1"/>
        </w:pBdr>
        <w:spacing w:after="0" w:before="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nil" w:color="FFFFFF" w:sz="0" w:space="0"/>
              <w:left w:val="nil" w:color="FFFFFF" w:sz="0" w:space="0"/>
              <w:bottom w:val="nil" w:color="FFFFFF" w:sz="0" w:space="0"/>
              <w:right w:val="nil" w:color="FFFFFF" w:sz="0" w:space="0"/>
            </w:tcBorders>
            <w:shd w:fill="0D1B2A" w:val="clear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EndnoteText"/>
            </w:pPr>
            <w:r>
              <w:rPr>
                <w:rFonts w:ascii="Arial" w:cs="Arial" w:eastAsia="Arial" w:hAnsi="Arial"/>
                <w:b/>
                <w:sz w:val="16"/>
                <w:szCs w:val="16"/>
                <w:color w:val="00B4A6"/>
              </w:rPr>
              <w:t>MODULE 01</w:t>
            </w:r>
          </w:p>
          <w:p>
            <w:pPr>
              <w:pStyle w:val="EndnoteText"/>
            </w:pPr>
            <w:r>
              <w:rPr>
                <w:rFonts w:ascii="Arial" w:cs="Arial" w:eastAsia="Arial" w:hAnsi="Arial"/>
                <w:b/>
                <w:sz w:val="28"/>
                <w:szCs w:val="28"/>
                <w:color w:val="FFFFFF"/>
              </w:rPr>
              <w:t>Multi-Bank Aggregation Dashboard — "Proof of Identity"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4.1.1  Objective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Eliminate financial data fragmentation by providing users with a consolidated, real-time visualisation of their aggregate liquidity across all linked banking institutions. This module implements "Proof of Identity" — continuously verifying that the account holder is who they claim to be through multi-factor biometric and behavioural signals.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4.1.2  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User onboards via BVN and NIN. Platform interfaces with Dojah (NIBSS-compliant KYC) to validate biometric and demographic data, satisfying CBN KYC regulations. Dojah acts as the compliant NIBSS intermediary.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Frontend implements Mono Connect SDK — secure embedded widget for bank account authentication via OAuth or bank-grade credentials. Zero user credentials exposed to the FinCore AI application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Backend executes recurring calls to Mono /accounts/{id}/transactions endpoint, ingesting transactional history spanning up to 24 months across all linked institutions. Variable-length handling via zero-padding preprocessor addresses institutions with &lt;12-month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NLP Entropy Engine (Law III) parses transaction narrations, normalising across 12+ bank narration schemas before Shannon entropy calculation. Categorises entries into: Revenue, Operational Expenses, Payroll, and Statutory Deductions.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User assigns one of five labels to each account. Labels are persisted as metadata and immediately propagate to all downstream PINN and ML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Dashboard renders: net cumulative balance, segmented asset distribution by account label, chronological cross-bank transaction feed with entropy risk scores, and per-label balance trend charts.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4.1.3 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Data refresh cycle: minimum every 15 minutes for all Mono-connected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OAuth tokens encrypted at rest using AES-256; never logged or transmitted in plaintext.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Account label changes propagate across all ML models and dashboard views within one reconciliation cycle (≤ 15 minutes).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Dashboard initial load time must not exceed 2 seconds on a standard 4G Nigerian mobile connection.</w:t>
      </w:r>
    </w:p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nil" w:color="FFFFFF" w:sz="0" w:space="0"/>
              <w:left w:val="nil" w:color="FFFFFF" w:sz="0" w:space="0"/>
              <w:bottom w:val="nil" w:color="FFFFFF" w:sz="0" w:space="0"/>
              <w:right w:val="nil" w:color="FFFFFF" w:sz="0" w:space="0"/>
            </w:tcBorders>
            <w:shd w:fill="00B4A6" w:val="clear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EndnoteText"/>
            </w:pPr>
            <w:r>
              <w:rPr>
                <w:rFonts w:ascii="Arial" w:cs="Arial" w:eastAsia="Arial" w:hAnsi="Arial"/>
                <w:b/>
                <w:sz w:val="16"/>
                <w:szCs w:val="16"/>
                <w:color w:val="0D1B2A"/>
              </w:rPr>
              <w:t>MODULE 02</w:t>
            </w:r>
          </w:p>
          <w:p>
            <w:pPr>
              <w:pStyle w:val="EndnoteText"/>
            </w:pPr>
            <w:r>
              <w:rPr>
                <w:rFonts w:ascii="Arial" w:cs="Arial" w:eastAsia="Arial" w:hAnsi="Arial"/>
                <w:b/>
                <w:sz w:val="28"/>
                <w:szCs w:val="28"/>
                <w:color w:val="0D1B2A"/>
              </w:rPr>
              <w:t>Intelligent Cash Flow Manager — "Proof of Solvency"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4.2.1  Objective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Mitigate SME cash flow mismanagement by combining predictive time-series analytics with Squad API-powered transaction execution. The PINN Conservation Law (Law II) acts as the real-time mathematical guardian of every transaction, converting reactive financial management into a proactive, auditable capability.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4.2.2  Squad API Integration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Squad Endpoint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Purpose</w:t>
            </w:r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Integration &amp; PINN Hook</w:t>
            </w:r>
          </w:p>
        </w:tc>
      </w:tr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/virtual-account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Cash flow infrastructure</w:t>
            </w:r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NUBAN GTBank virtual accounts per vendor/segment. Conservation Law validates every settlement against webhook payload.</w:t>
            </w:r>
          </w:p>
        </w:tc>
      </w:tr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Webhook URL Config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Real-time reconciliation</w:t>
            </w:r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Squad pushes JSON on fund settlement. Backend validates via hash comparison. 5-second Grace Window before Conservation violation flag.</w:t>
            </w:r>
          </w:p>
        </w:tc>
      </w:tr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/transfer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Credit disbursement</w:t>
            </w:r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Routes approved loan capital to borrower's verified account. Velocity Law monitors post-disbursement flow immediately.</w:t>
            </w:r>
          </w:p>
        </w:tc>
      </w:tr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/transaction/initiate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Inbound SME payments</w:t>
            </w:r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Embeddable payment modal for e-commerce integration. Entropy Law scores each new payee on first interaction.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4.2.3  Forecasting Model — Seasonal Quarterly Segmentation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system deploys ARIMA for stationary financial series or LSTM neural networks for complex non-linear patterns. Critically, 24-month Mono data is segmented into 8 Quarterly Blocks (Q1–Q8) to handle Nigerian seasonal variations (festive surges, harvest cycles, academic calendar effects) and prevent gradient pathologies from mixing regimes.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Only Business-labelled accounts feed the operational cash flow model. Emergency accounts excluded from burn calculations.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Projected balance falling below payroll obligations triggers automated alert with actionable recommendations: defer non-essential payables, accelerate collections, or initiate credit facility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Investment and Savings accounts contribute to total net worth view but not operational forecasting.</w:t>
      </w:r>
    </w:p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nil" w:color="FFFFFF" w:sz="0" w:space="0"/>
              <w:left w:val="nil" w:color="FFFFFF" w:sz="0" w:space="0"/>
              <w:bottom w:val="nil" w:color="FFFFFF" w:sz="0" w:space="0"/>
              <w:right w:val="nil" w:color="FFFFFF" w:sz="0" w:space="0"/>
            </w:tcBorders>
            <w:shd w:fill="6A0DAD" w:val="clear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EndnoteText"/>
            </w:pPr>
            <w:r>
              <w:rPr>
                <w:rFonts w:ascii="Arial" w:cs="Arial" w:eastAsia="Arial" w:hAnsi="Arial"/>
                <w:b/>
                <w:sz w:val="16"/>
                <w:szCs w:val="16"/>
                <w:color w:val="DDAAFF"/>
              </w:rPr>
              <w:t>MODULE 03</w:t>
            </w:r>
          </w:p>
          <w:p>
            <w:pPr>
              <w:pStyle w:val="EndnoteText"/>
            </w:pPr>
            <w:r>
              <w:rPr>
                <w:rFonts w:ascii="Arial" w:cs="Arial" w:eastAsia="Arial" w:hAnsi="Arial"/>
                <w:b/>
                <w:sz w:val="28"/>
                <w:szCs w:val="28"/>
                <w:color w:val="FFFFFF"/>
              </w:rPr>
              <w:t>Alternative AI Credit Engine — "Proof of Creditworthiness"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4.3.1  Objective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Democratise access to capital for SMEs lacking formal credit histories by leveraging machine learning on alternative transactional data. The Random Forest model is re-calibrated by the PINN Grounding Law (Law V), ensuring credit limits are anchored to verifiable liquid reality rather than model extrapolation.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4.3.2  Lean PINN Re-Calibration Architecture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b/>
          <w:sz w:val="19"/>
          <w:szCs w:val="19"/>
          <w:color w:val="0D1B2A"/>
        </w:rPr>
        <w:t xml:space="preserve">The "Lean PINN" Macro-Lens implementation for Module 03 operates as follows: </w:t>
      </w:r>
      <w:r>
        <w:rPr>
          <w:rFonts w:ascii="Arial" w:cs="Arial" w:eastAsia="Arial" w:hAnsi="Arial"/>
          <w:sz w:val="19"/>
          <w:szCs w:val="19"/>
          <w:color w:val="0D1B2A"/>
        </w:rPr>
        <w:t>(1) Random Forest generates a raw credit score (0–1000 scale) from 100+ behavioural signals. (2) PINN Macro-Law C-III (Grounding) calculates the C_score: C_score ∝ Avg Daily Balance over 90 days — this is the "Physical Mass" of the account. Macro-Laws C-I (Inertia) and C-II (Conservation) provide additional residual checks on velocity and ledger integrity. (3) The final disbursable credit limit = min(RF_raw_limit, α × C_score_limit), where α is a risk-appetite scalar. This prevents the Random Forest from recommending credit that exceeds the account's demonstrated physical capacity to repay.</w:t>
      </w:r>
    </w:p>
    <w:p>
      <w:pPr>
        <w:pStyle w:val="EndnoteText"/>
        <w:spacing w:after="120" w:before="6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4.3.3  Feature Extraction and Signal Weighting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6A0DAD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Credit Signal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6A0DAD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Description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6A0DAD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Weight</w:t>
            </w:r>
          </w:p>
        </w:tc>
      </w:tr>
      <w:tr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Cash Inflow Ratio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Ratio of consistent cash inflows to total spending over 12 months on Business accounts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1A7A4A"/>
              </w:rPr>
              <w:t>High</w:t>
            </w:r>
          </w:p>
        </w:tc>
      </w:tr>
      <w:tr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Utility Payment History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Frequency and on-time regularity of utility bill payments across all accounts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1A7A4A"/>
              </w:rPr>
              <w:t>High</w:t>
            </w:r>
          </w:p>
        </w:tc>
      </w:tr>
      <w:tr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Average Daily Balance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Stability of liquidity floor on Business accounts across rolling 90-day windows (PINN Law V)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1A7A4A"/>
              </w:rPr>
              <w:t>High</w:t>
            </w:r>
          </w:p>
        </w:tc>
      </w:tr>
      <w:tr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Transaction Velocity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Volume and frequency of commercial activity on Business-labelled accounts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D4A017"/>
              </w:rPr>
              <w:t>Medium</w:t>
            </w:r>
          </w:p>
        </w:tc>
      </w:tr>
      <w:tr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BVN Network Score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Trust-graph linkage quality — verified identity depth and cross-bank presence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D4A017"/>
              </w:rPr>
              <w:t>Medium</w:t>
            </w:r>
          </w:p>
        </w:tc>
      </w:tr>
      <w:tr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Entropy Score (Law III)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Shannon entropy of transaction narrations — low entropy signals institutional payment patterns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D4A017"/>
              </w:rPr>
              <w:t>Medium</w:t>
            </w:r>
          </w:p>
        </w:tc>
      </w:tr>
      <w:tr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Resonance Index (Law IV)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FFT analysis of timestamp distribution — human-like irregularity scores higher than bot-regular patterns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Low-Med</w:t>
            </w:r>
          </w:p>
        </w:tc>
      </w:tr>
      <w:tr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Supply Chain Regularity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Consistency of payments to/receipts from recurring counterparties on Business accounts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Low-Med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4.3.4  Score Bands and Disbursement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26"/>
      </w:tblGrid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Score Range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Risk Band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4A5568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Outcome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&lt; 400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C0392B"/>
              </w:rPr>
              <w:t>High Risk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Application declined. User receives personalised financial health improvement plan with 90-day reassessment option.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400–600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D4A017"/>
              </w:rPr>
              <w:t>Moderate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Small facility offered with stepped repayment schedule. Shorter tenure reduces lender risk. PINN Grounding cap applied at 40% of 90-day ADB.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600–800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0B4A6"/>
              </w:rPr>
              <w:t>Good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Standard facility at competitive rates. PINN Grounding cap at 60% of 90-day ADB. Standard repayment via Squad Subscription API.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&gt; 800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1A7A4A"/>
              </w:rPr>
              <w:t>Excellent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Priority facility with optimal terms, highest credit ceiling (80% of 90-day ADB PINN cap), expedited processing.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nil" w:color="FFFFFF" w:sz="0" w:space="0"/>
              <w:left w:val="nil" w:color="FFFFFF" w:sz="0" w:space="0"/>
              <w:bottom w:val="nil" w:color="FFFFFF" w:sz="0" w:space="0"/>
              <w:right w:val="nil" w:color="FFFFFF" w:sz="0" w:space="0"/>
            </w:tcBorders>
            <w:shd w:fill="C0392B" w:val="clear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EndnoteText"/>
            </w:pPr>
            <w:r>
              <w:rPr>
                <w:rFonts w:ascii="Arial" w:cs="Arial" w:eastAsia="Arial" w:hAnsi="Arial"/>
                <w:b/>
                <w:sz w:val="16"/>
                <w:szCs w:val="16"/>
                <w:color w:val="FFAAAA"/>
              </w:rPr>
              <w:t>MODULE 04</w:t>
            </w:r>
          </w:p>
          <w:p>
            <w:pPr>
              <w:pStyle w:val="EndnoteText"/>
            </w:pPr>
            <w:r>
              <w:rPr>
                <w:rFonts w:ascii="Arial" w:cs="Arial" w:eastAsia="Arial" w:hAnsi="Arial"/>
                <w:b/>
                <w:sz w:val="28"/>
                <w:szCs w:val="28"/>
                <w:color w:val="FFFFFF"/>
              </w:rPr>
              <w:t>Real-Time Fraud Shield — "Proof of Life" Core Engine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4.4.1  Objective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Safeguard the FinCore AI ecosystem against identity theft, account takeovers, and fraudulent transactions using the hybrid PI-VAE-GNN architecture. This module is the direct implementation of Challenge 01's "Proof of Life" mandate — continuously re-proving the liveness and authenticity of every financial event.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4.4.2  The Hybrid PI-VAE-GNN Architecture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Fraud Shield operates as a three-layer verification stack, with the PINN Micro-Laws (F-I to F-V) Real-Time Shield as the final arbitration layer:</w:t>
      </w:r>
    </w:p>
    <w:p>
      <w:pPr>
        <w:spacing w:after="120" w:before="40"/>
      </w:pPr>
      <w:r>
        <w:rPr>
          <w:sz w:val="19"/>
          <w:szCs w:val="19"/>
          <w:rFonts w:ascii="Arial" w:hAnsi="Arial" w:eastAsia="Arial" w:cs="Arial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426"/>
      </w:tblGrid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0392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Layer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0392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Component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0392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Input</w:t>
            </w:r>
          </w:p>
        </w:tc>
        <w:tc>
          <w:tcPr>
            <w:tcW w:w="2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0392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Output / Action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Layer 1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Variational Autoencoder (VAE)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Normalised transaction metadata: amount, time, device, geolocation vs. established behavioural baseline</w:t>
            </w:r>
          </w:p>
        </w:tc>
        <w:tc>
          <w:tcPr>
            <w:tcW w:w="2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Reconstruction error score → anomaly probability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Layer 2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Graph Neural Network (GNN)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Account-to-account transfer relationships, shared device IDs, node-edge connectivity across the ecosystem</w:t>
            </w:r>
          </w:p>
        </w:tc>
        <w:tc>
          <w:tcPr>
            <w:tcW w:w="2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Synthetic identity cluster detection; laundering ring identification</w:t>
            </w:r>
          </w:p>
        </w:tc>
      </w:tr>
      <w:tr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Layer 3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PINN Micro-Laws Real-Time Shield (F-I to F-V)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All transaction metadata + Mono balance state + Squad webhook payload</w:t>
            </w:r>
          </w:p>
        </w:tc>
        <w:tc>
          <w:tcPr>
            <w:tcW w:w="2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Physics violation verdict: PASS / FLAG / BLOCK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F0A500" w:sz="12" w:space="0"/>
              <w:left w:val="single" w:color="F0A500" w:sz="12" w:space="0"/>
              <w:bottom w:val="single" w:color="F0A500" w:sz="2" w:space="0"/>
              <w:right w:val="single" w:color="F0A500" w:sz="2" w:space="0"/>
            </w:tcBorders>
            <w:shd w:fill="FFF3CD" w:val="clear" w:color="auto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EndnoteText"/>
              <w:spacing w:after="40" w:before="0"/>
            </w:pPr>
            <w:r>
              <w:rPr>
                <w:rFonts w:ascii="Arial" w:cs="Arial" w:eastAsia="Arial" w:hAnsi="Arial"/>
                <w:b/>
                <w:sz w:val="19"/>
                <w:szCs w:val="19"/>
                <w:color w:val="F0A500"/>
              </w:rPr>
              <w:t>⚠ GNN Demo Implementation Note (Transparently Disclosed)</w:t>
            </w:r>
          </w:p>
          <w:p>
            <w:pPr>
              <w:pStyle w:val="EndnoteText"/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color w:val="0D1B2A"/>
              </w:rPr>
              <w:t>The GNN component requires cross-institution relational data that is not available in the Squad sandbox environment. For the hackathon demo, the GNN is demonstrated via pre-computed threat graph visualisations generated from synthetic Nigerian transaction network data. The VAE and PINN Micro-Laws (F-IV: Network Gravity) operate on live sandbox data. This is transparently disclosed to the judging panel and does not compromise the technical rigour of the architecture.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4.4.3  VAE Behavioural Baselining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system continuously profiles each user's standard operational behaviour, establishing a baseline on a rolling 30-day window. The VAE is trained on normalised transaction metadata and learns to reconstruct normal transaction patterns. Anomalous transactions produce high reconstruction error scores.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VAE Input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Transaction amount relative to 90-day mean and standard deviation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Time-of-day deviation from user's established active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Device fingerprint match score against registry of recognised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Geolocation distance from user's typical transaction geographic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Beneficiary trust score — derived from prior transaction frequency and recency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  <w:color w:val="0D1B2A"/>
        </w:rPr>
        <w:t>Entropy score of transaction narration (Law III integration)</w:t>
      </w:r>
    </w:p>
    <w:p>
      <w:pPr>
        <w:pStyle w:val="EndnoteText"/>
        <w:spacing w:after="120" w:before="6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sz w:val="22"/>
          <w:szCs w:val="22"/>
          <w:color w:val="0D1B2A"/>
        </w:rPr>
        <w:t xml:space="preserve">3.2  The Real-Time Response Protocol (Dojah Integration) — C_score Tiers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Based on the PINN Integrity Score (C_score), the system dynamically re-calibrates friction. The response protocol is tiered by trust level: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  <w:gridCol w:w="4526"/>
      </w:tblGrid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7A4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7"/>
                <w:szCs w:val="19"/>
                <w:rFonts w:ascii="Arial" w:hAnsi="Arial" w:eastAsia="Arial" w:cs="Arial"/>
                <w:b/>
                <w:color w:val="FFFFFF"/>
              </w:rPr>
              <w:t>C_score Tier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7A4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7"/>
                <w:szCs w:val="19"/>
                <w:rFonts w:ascii="Arial" w:hAnsi="Arial" w:eastAsia="Arial" w:cs="Arial"/>
                <w:b/>
                <w:color w:val="FFFFFF"/>
              </w:rPr>
              <w:t>Score Range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7A4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7"/>
                <w:szCs w:val="19"/>
                <w:rFonts w:ascii="Arial" w:hAnsi="Arial" w:eastAsia="Arial" w:cs="Arial"/>
                <w:b/>
                <w:color w:val="FFFFFF"/>
              </w:rPr>
              <w:t>Trigger Condition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7A4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7"/>
                <w:szCs w:val="19"/>
                <w:rFonts w:ascii="Arial" w:hAnsi="Arial" w:eastAsia="Arial" w:cs="Arial"/>
                <w:b/>
                <w:color w:val="FFFFFF"/>
              </w:rPr>
              <w:t>System Response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b/>
                <w:color w:val="1A7A4A"/>
              </w:rPr>
              <w:t>🟢 Green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C_score &gt; 0.95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All Micro-Laws pass. VAE reconstruction error below baseline. GNN shows no cluster match.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Frictionless Squad Transfer. Transaction proceeds without additional authentication.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b/>
                <w:color w:val="D4A017"/>
              </w:rPr>
              <w:t>🟡 Yellow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0.70 – 0.94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Single Micro-Law soft violation (e.g., F-V entropy drift or F-I minor geo deviation).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Step-up Authentication (Secure OTP). Transaction proceeds if passed within 60 seconds.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b/>
                <w:color w:val="F0A500"/>
              </w:rPr>
              <w:t>🟠 Orange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0.40 – 0.69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Multiple Micro-Law violations (F-II ghost spike + F-III momentum drain) or VAE high anomaly.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Dojah Biometric Facial Scan required against BVN records. Account security review initiated.</w:t>
            </w:r>
          </w:p>
        </w:tc>
      </w:tr>
      <w:t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b/>
                <w:color w:val="C0392B"/>
              </w:rPr>
              <w:t>🔴 Red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&lt; 0.40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Critical violation: All Micro-Laws failed + GNN mule cluster match + VAE extreme anomaly.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spacing w:after="120" w:before="40"/>
            </w:pPr>
            <w:r>
              <w:rPr>
                <w:sz w:val="18"/>
                <w:szCs w:val="19"/>
                <w:rFonts w:ascii="Arial" w:hAnsi="Arial" w:eastAsia="Arial" w:cs="Arial"/>
                <w:color w:val="0D1B2A"/>
              </w:rPr>
              <w:t>Hard Block + Incident Report. Automatic account freeze. CBN-compliant incident report generated.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sz w:val="36"/>
          <w:szCs w:val="36"/>
          <w:color w:val="0D1B2A"/>
        </w:rPr>
        <w:t>5. Technical Architecture and Integration Strategy</w:t>
      </w:r>
    </w:p>
    <w:p>
      <w:pPr>
        <w:pStyle w:val="EndnoteText"/>
        <w:pBdr>
          <w:bottom w:val="single" w:color="00B4A6" w:sz="8" w:space="1"/>
        </w:pBdr>
        <w:spacing w:after="0" w:before="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26"/>
          <w:szCs w:val="26"/>
          <w:color w:val="00B4A6"/>
        </w:rPr>
        <w:t xml:space="preserve">5.1  System Architecture Overview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platform is built on a microservices architecture that segregates computationally intensive ML inference from the high-throughput transactional core. All ML models are exposed via internal, low-latency FastAPI REST endpoints. The PINN Dual-Lens Middleware runs as a dedicated service: Macro-Laws add &lt;20ms to credit scoring + Micro-Laws add &lt;50ms to fraud pipeline.</w:t>
      </w:r>
    </w:p>
    <w:p>
      <w:pPr>
        <w:pStyle w:val="EndnoteText"/>
        <w:spacing w:after="120" w:before="6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Technology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Responsibility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Frontend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React Native / React.js · Mono Connect SDK · Biometric UI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User application, account linking, dashboard, step-up authentication flows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API Gateway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Node.js / FastAPI · JWT Auth · Webhook Handler · Idempotency Store (Redis)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Request routing, authentication, Squad webhook processing, duplicate prevention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PINN Middleware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Python · NumPy · SciPy (FFT) · FastAPI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5-Law Residual Auditor — runs post-inference on every transaction before gateway forwarding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ML Microservices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TensorFlow / PyTorch · Scikit-learn · FastAPI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LSTM cash flow, Random Forest credit scoring, VAE fraud anomaly — all internal REST APIs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Integrations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Squad APIs · Mono API · Dojah / Prembly KYC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External data ingestion, payment processing, identity verification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Database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PostgreSQL · Redis · MongoDB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Relational user data, session/idempotency caching, event stream storage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Infrastructure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Docker · Kubernetes · AWS / GCP · CI/CD Pipeline</w:t>
            </w:r>
          </w:p>
        </w:tc>
        <w:tc>
          <w:tcPr>
            <w:tcW w:w="4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Containerised deployment, autoscaling, continuous delivery</w:t>
            </w:r>
          </w:p>
        </w:tc>
      </w:tr>
    </w:tbl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sz w:val="26"/>
          <w:szCs w:val="26"/>
          <w:color w:val="00B4A6"/>
        </w:rPr>
        <w:t xml:space="preserve">5.2  AI and Machine Learning Blueprint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00"/>
        <w:gridCol w:w="2726"/>
      </w:tblGrid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Model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Application</w:t>
            </w:r>
          </w:p>
        </w:tc>
        <w:tc>
          <w:tcPr>
            <w:tcW w:w="2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Primary Inputs</w:t>
            </w:r>
          </w:p>
        </w:tc>
        <w:tc>
          <w:tcPr>
            <w:tcW w:w="27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Output &amp; Autonomous Action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ARIMA / LSTM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Cash Flow Forecasting</w:t>
            </w:r>
          </w:p>
        </w:tc>
        <w:tc>
          <w:tcPr>
            <w:tcW w:w="2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Normalised Mono transaction data, seasonality (8 quarterly blocks), fixed recurring expenses on Business accounts</w:t>
            </w:r>
          </w:p>
        </w:tc>
        <w:tc>
          <w:tcPr>
            <w:tcW w:w="27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90-day liquidity projections; proactive shortfall alerts and credit facility suggestions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Random Forest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Credit Scoring</w:t>
            </w:r>
          </w:p>
        </w:tc>
        <w:tc>
          <w:tcPr>
            <w:tcW w:w="2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Utility payments, BVN linkage, transaction velocity, entropy score, Law V grounding, income-to-expense ratios on Business accounts</w:t>
            </w:r>
          </w:p>
        </w:tc>
        <w:tc>
          <w:tcPr>
            <w:tcW w:w="27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Proprietary 0–1000 credit score; PINN re-calibrated credit limit; automated Squad transfer disbursement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Variational Autoencoder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Anomaly Detection</w:t>
            </w:r>
          </w:p>
        </w:tc>
        <w:tc>
          <w:tcPr>
            <w:tcW w:w="2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Real-time transaction metadata (amount, time, device, geolocation) against established behavioural baseline</w:t>
            </w:r>
          </w:p>
        </w:tc>
        <w:tc>
          <w:tcPr>
            <w:tcW w:w="27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Reconstruction error score; triggers PINN audit if threshold exceeded; step-up BVN biometric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Graph Neural Network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Threat Intelligence</w:t>
            </w:r>
          </w:p>
        </w:tc>
        <w:tc>
          <w:tcPr>
            <w:tcW w:w="2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Account-to-account transfer relationships, shared device IDs, node-edge connectivity (pre-computed for demo)</w:t>
            </w:r>
          </w:p>
        </w:tc>
        <w:tc>
          <w:tcPr>
            <w:tcW w:w="27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Synthetic identity cluster IDs; coordinated laundering ring flags; accounts flagged for review</w:t>
            </w:r>
          </w:p>
        </w:tc>
      </w:tr>
      <w:tr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PINN Residual Auditor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Physics Constraint Enforcement</w:t>
            </w:r>
          </w:p>
        </w:tc>
        <w:tc>
          <w:tcPr>
            <w:tcW w:w="2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All of the above + Mono balance state + Squad webhook payload hash</w:t>
            </w:r>
          </w:p>
        </w:tc>
        <w:tc>
          <w:tcPr>
            <w:tcW w:w="27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Dual-Lens residual verdict: Macro-Laws (C-I to C-III) calibrate credit + Micro-Laws (F-I to F-V) shield fraud; Green/Yellow/Orange/Red C_score tiers; zero manual intervention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sz w:val="36"/>
          <w:szCs w:val="36"/>
          <w:color w:val="0D1B2A"/>
        </w:rPr>
        <w:t>6. Challenge 01 Judging Criteria Alignment</w:t>
      </w:r>
    </w:p>
    <w:p>
      <w:pPr>
        <w:pStyle w:val="EndnoteText"/>
        <w:pBdr>
          <w:bottom w:val="single" w:color="00B4A6" w:sz="8" w:space="1"/>
        </w:pBdr>
        <w:spacing w:after="0" w:before="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26"/>
      </w:tblGrid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Judging Criterion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Weight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0D1B2A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FinCore AI Implementation</w:t>
            </w:r>
          </w:p>
        </w:tc>
      </w:tr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1. AI Technical Depth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0B4A6"/>
              </w:rPr>
              <w:t>30%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PINN 5-Law Residual Auditor (Laws I–V) + PI-VAE anomaly detection + Random Forest credit scoring + ARIMA/LSTM forecasting. Each model is mathematically justified and maps to a specific physical analogy. The PINN architecture demonstrates knowledge of physics-informed ML methodology beyond standard ML toolkits.</w:t>
            </w:r>
          </w:p>
        </w:tc>
      </w:tr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2. Squad API Integration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0B4A6"/>
              </w:rPr>
              <w:t>20%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Four Squad endpoints deeply integrated: Virtual Accounts (cash flow infrastructure + Conservation Law anchor), Webhooks (real-time reconciliation + ghost spike detection), Transfer API (credit disbursement post-PINN approval), Payment Gateway (inbound SME payments with Entropy Law scoring).</w:t>
            </w:r>
          </w:p>
        </w:tc>
      </w:tr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3. Problem Relevance &amp; Domain Insight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0B4A6"/>
              </w:rPr>
              <w:t>15%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Addresses documented Nigerian fraud crisis (₦52.26B banking fraud 2024, 66% infostealer rise 2025). Maps directly to Challenge 01's "Proof of Life" verification mandate. Explicitly addresses ghost workers, thin-file credit exclusion, and CBN AI monitoring mandates.</w:t>
            </w:r>
          </w:p>
        </w:tc>
      </w:tr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4. Solution Design &amp; Scalability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0B4A6"/>
              </w:rPr>
              <w:t>15%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Microservices architecture with independently scalable ML inference layer. PINN middleware adds &lt;50ms latency. 8-quarterly-block data segmentation prevents regime-mixing gradient pathologies. Mono idempotency store prevents duplicate processing at scale.</w:t>
            </w:r>
          </w:p>
        </w:tc>
      </w:tr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5. Presentation &amp; Demo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0B4A6"/>
              </w:rPr>
              <w:t>15%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5-step demo flow: Dojah KYC onboarding → Mono multi-bank aggregation → ghost spike trigger → PINN block + biometric step-up → credit trust score. Designed for &lt;4 minutes with physicist-generated PINN visualisation plots as supporting visuals.</w:t>
            </w:r>
          </w:p>
        </w:tc>
      </w:tr>
      <w:t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0D1B2A"/>
              </w:rPr>
              <w:t>6. Impact Potential (Bonus)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D4A017"/>
              </w:rPr>
              <w:t>10%</w:t>
            </w:r>
          </w:p>
        </w:tc>
        <w:tc>
          <w:tcPr>
            <w:tcW w:w="5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Directly addresses financial inclusion for thin-file SMEs (60%+ of Nigerian commercial sector). 2026 Tax Reform compliance (Module 05) adds regulatory necessity. CBN AI mandate alignment creates institutional adoption pathway beyond the hackathon.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sz w:val="36"/>
          <w:szCs w:val="36"/>
          <w:color w:val="0D1B2A"/>
        </w:rPr>
        <w:t>7. Required Technical Documentation Checklist</w:t>
      </w:r>
    </w:p>
    <w:p>
      <w:pPr>
        <w:pStyle w:val="EndnoteText"/>
        <w:pBdr>
          <w:bottom w:val="single" w:color="00B4A6" w:sz="8" w:space="1"/>
        </w:pBdr>
        <w:spacing w:after="0" w:before="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26"/>
        <w:gridCol w:w="17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Document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Description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7"/>
                <w:szCs w:val="17"/>
                <w:color w:val="FFFFFF"/>
              </w:rPr>
              <w:t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Pitch Deck (10 slides)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Problem, target user, solution, Squad APIs, AI intelligence, user flow, impact, scalability, research validation, team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1A7A4A"/>
              </w:rPr>
              <w:t>Complete ✓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Product Requirements Document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This document — v3.0 with Dual-Lens Architecture, functional specs, PINN law definitions, ML blueprint, judging alignment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1A7A4A"/>
              </w:rPr>
              <w:t>Complete ✓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System Architecture Diagram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Data flow: frontend → PINN middleware → microservices → Squad/Mono/Dojah → ML inference layer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D4A017"/>
              </w:rPr>
              <w:t>In Progress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PINN Law Visualisation Plots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5 mathematical plots (one per law) generated by mathematician on Mono test data — core demo visuals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D4A017"/>
              </w:rPr>
              <w:t>In Progress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API Integration Specs (Postman)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Endpoints, headers, and payload structures for Squad, Mono Connect, and Dojah APIs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4A5568"/>
              </w:rPr>
              <w:t>Pending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ML Model Cards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Architecture, training data, features, performance metrics, and bias considerations for all 5 models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4A5568"/>
              </w:rPr>
              <w:t>Pending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Database Schema / ERD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Relational schema: user identity, accounts, labels, transactions, credit scores, fraud flags, PINN audit log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4A5568"/>
              </w:rPr>
              <w:t>Pending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User Flow &amp; Wireframe Docs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User journey from Dojah KYC onboarding through dashboard, credit application, and fraud interception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4A5568"/>
              </w:rPr>
              <w:t>Pending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GitHub Repository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Clean, documented codebase with README covering setup, API credentials, and demo walkthrough instructions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4A5568"/>
              </w:rPr>
              <w:t>Pending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One-Pager Summary (A4 PDF)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color w:val="0D1B2A"/>
              </w:rPr>
              <w:t>Single-page PDF: problem, solution, Squad APIs used, four pillars addressed — left with judges post-presentation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EndnoteText"/>
              <w:jc w:val="left"/>
            </w:pPr>
            <w:r>
              <w:rPr>
                <w:rFonts w:ascii="Arial" w:cs="Arial" w:eastAsia="Arial" w:hAnsi="Arial"/>
                <w:b/>
                <w:i w:val="false"/>
                <w:sz w:val="18"/>
                <w:szCs w:val="18"/>
                <w:color w:val="4A5568"/>
              </w:rPr>
              <w:t>Pending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sz w:val="36"/>
          <w:szCs w:val="36"/>
          <w:color w:val="0D1B2A"/>
        </w:rPr>
        <w:t>8. Conclusion: The "Proof of Life" Edge</w:t>
      </w:r>
    </w:p>
    <w:p>
      <w:pPr>
        <w:pStyle w:val="EndnoteText"/>
        <w:pBdr>
          <w:bottom w:val="single" w:color="00B4A6" w:sz="8" w:space="1"/>
        </w:pBdr>
        <w:spacing w:after="0" w:before="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FinCore AI v3.0 doesn't just "detect" fraud; it defines the Physics of Trust. By using the PINN as a post-inference re-calibrator with a Dual-Lens Architecture, we eliminate the "Black Box" problem. Every loan approved is anchored by Macro-Laws (C-I to C-III) to verifiable liquid "Trust Mass." Every fraud blocked is caught by Micro-Laws (F-I to F-V) Real-Time Shield. This architecture satisfies the CBN AI Mandate for real-time monitoring while unlocking capital for the 60% of Nigerian SMEs currently excluded by traditional underwriting.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v3.0 Dual-Lens architecture resolves the central challenge of PINN scope: Macro-Laws handle the slow-moving credit "mass" problem while Micro-Laws handle the fast-moving fraud "violation" problem. The Conservation Law grace window addresses webhook latency blind spots; the Lean PINN re-calibrator replaces the impractical full end-to-end PINN; and the 48-hour execution sequence front-loads demo-critical components.</w:t>
      </w:r>
    </w:p>
    <w:p>
      <w:pPr>
        <w:pStyle w:val="EndnoteText"/>
        <w:spacing w:after="80" w:before="60"/>
        <w:jc w:val="both"/>
      </w:pPr>
      <w:r>
        <w:rPr>
          <w:rFonts w:ascii="Arial" w:cs="Arial" w:eastAsia="Arial" w:hAnsi="Arial"/>
          <w:sz w:val="19"/>
          <w:szCs w:val="19"/>
          <w:color w:val="0D1B2A"/>
        </w:rPr>
        <w:t>The account labelling framework — enabling users to classify linked accounts as Personal, Business, Emergency, Investment, or Savings — is not a UI feature. It is the context injection mechanism that makes every AI model smarter. It directly influences cash flow projections, credit signal extraction, PINN law selection, and fraud pattern baselining. This design decision reflects a deep understanding of how Nigerian SMEs and individuals actually manage money across multiple institutions and purposes.</w:t>
      </w:r>
    </w:p>
    <w:p>
      <w:pPr>
        <w:pStyle w:val="EndnoteText"/>
        <w:spacing w:after="120" w:before="80"/>
      </w:pPr>
      <w:r>
        <w:rPr>
          <w:rFonts w:ascii="Arial" w:hAnsi="Arial" w:eastAsia="Arial" w:cs="Arial"/>
          <w:sz w:val="19"/>
          <w:szCs w:val="20"/>
        </w:rPr>
        <w:t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00B4A6" w:sz="12" w:space="0"/>
              <w:left w:val="single" w:color="00B4A6" w:sz="12" w:space="0"/>
              <w:bottom w:val="single" w:color="00B4A6" w:sz="2" w:space="0"/>
              <w:right w:val="single" w:color="00B4A6" w:sz="2" w:space="0"/>
            </w:tcBorders>
            <w:shd w:fill="EFF8F7" w:val="clear" w:color="auto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EndnoteText"/>
              <w:spacing w:after="40" w:before="0"/>
            </w:pPr>
            <w:r>
              <w:rPr>
                <w:rFonts w:ascii="Arial" w:cs="Arial" w:eastAsia="Arial" w:hAnsi="Arial"/>
                <w:b/>
                <w:sz w:val="19"/>
                <w:szCs w:val="19"/>
                <w:color w:val="00B4A6"/>
              </w:rPr>
              <w:t>Competitive Positioning</w:t>
            </w:r>
          </w:p>
          <w:p>
            <w:pPr>
              <w:pStyle w:val="EndnoteText"/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color w:val="0D1B2A"/>
              </w:rPr>
              <w:t>FinCore AI v3.0 aligns with precision against the GTCo Squad Hackathon 3.0 Challenge 01 mandate. The "Proof of Life" framing — backed by the Dual-Lens PINN Architecture dividing credit underwriting (Macro-Laws) from fraud suppression (Micro-Laws) — is a conceptual innovation that no existing Nigerian fintech platform has productised. The Physics of Trust narrative gives judges a memorable, explainable, and technically sophisticated story. The strategic integration of open banking via Mono, real-time payments via Squad, and biometric identity via Dojah creates a data-rich environment that is simultaneously the foundation of a real, deployable financial product.</w:t>
            </w:r>
          </w:p>
        </w:tc>
      </w:tr>
    </w:tbl>
    <w:p>
      <w:pPr>
        <w:pStyle w:val="EndnoteText"/>
        <w:spacing w:after="120" w:before="120"/>
      </w:pPr>
      <w:r>
        <w:rPr>
          <w:rFonts w:ascii="Arial" w:hAnsi="Arial" w:eastAsia="Arial" w:cs="Arial"/>
          <w:sz w:val="19"/>
          <w:szCs w:val="20"/>
        </w:rPr>
        <w:t/>
      </w:r>
    </w:p>
    <w:p>
      <w:pPr>
        <w:pStyle w:val="EndnoteText"/>
        <w:jc w:val="center"/>
      </w:pPr>
      <w:r>
        <w:rPr>
          <w:rFonts w:ascii="Arial" w:cs="Arial" w:eastAsia="Arial" w:hAnsi="Arial"/>
          <w:i/>
          <w:sz w:val="20"/>
          <w:szCs w:val="20"/>
          <w:color w:val="4A5568"/>
        </w:rPr>
        <w:t>— End of Document —</w:t>
      </w:r>
    </w:p>
    <w:p>
      <w:pPr>
        <w:pStyle w:val="EndnoteText"/>
        <w:spacing w:after="0"/>
        <w:jc w:val="center"/>
      </w:pPr>
      <w:r>
        <w:rPr>
          <w:rFonts w:ascii="Arial" w:cs="Arial" w:eastAsia="Arial" w:hAnsi="Arial"/>
          <w:b/>
          <w:sz w:val="20"/>
          <w:szCs w:val="20"/>
          <w:color w:val="00B4A6"/>
        </w:rPr>
        <w:t xml:space="preserve">FinCore AI  |  GTCo Squad Hackathon 3.0  |  Submission v3.0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A6" w:sz="6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4A5568"/>
        <w:sz w:val="16"/>
        <w:szCs w:val="16"/>
      </w:rPr>
      <w:t xml:space="preserve">Confidential  |  GTCo Squad Hackathon 3.0</w:t>
    </w:r>
    <w:r>
      <w:rPr>
        <w:rFonts w:ascii="Arial" w:cs="Arial" w:eastAsia="Arial" w:hAnsi="Arial"/>
        <w:color w:val="4A5568"/>
        <w:sz w:val="16"/>
        <w:szCs w:val="16"/>
      </w:rPr>
      <w:t xml:space="preserve">							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A6" w:sz="6" w:space="1"/>
      </w:pBdr>
      <w:spacing w:after="60" w:before="0"/>
    </w:pPr>
    <w:r>
      <w:rPr>
        <w:rFonts w:ascii="Arial" w:cs="Arial" w:eastAsia="Arial" w:hAnsi="Arial"/>
        <w:color w:val="4A5568"/>
        <w:sz w:val="16"/>
        <w:szCs w:val="16"/>
      </w:rPr>
      <w:t xml:space="preserve">FinCore AI — Product Requirements Document v2.0</w:t>
    </w:r>
    <w:r>
      <w:rPr>
        <w:rFonts w:ascii="Arial" w:cs="Arial" w:eastAsia="Arial" w:hAnsi="Arial"/>
        <w:color w:val="00B4A6"/>
        <w:sz w:val="16"/>
        <w:szCs w:val="16"/>
      </w:rPr>
      <w:t xml:space="preserve">    |    Squad Hackathon 3.0  ·  Challenge 01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B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B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endnotes" Target="endnotes.xml" /><Relationship Id="rId5" Type="http://schemas.openxmlformats.org/officeDocument/2006/relationships/settings" Target="settings.xml" /><Relationship Id="rId6" Type="http://schemas.openxmlformats.org/officeDocument/2006/relationships/comments" Target="comment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2026-05-13T18:46:10.540Z</dcterms:created>
  <dcterms:modified xsi:type="dcterms:W3CDTF">2026-05-13T18:46:10.559Z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