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BF50" w14:textId="77777777" w:rsidR="00CD575C" w:rsidRPr="00964335" w:rsidRDefault="00E00B5D" w:rsidP="00E2398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Fuzzy</w:t>
      </w:r>
      <w:proofErr w:type="spellEnd"/>
      <w:r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logika pagrįstas sprendimas panaudojant intelektinius agentus</w:t>
      </w:r>
    </w:p>
    <w:p w14:paraId="21521A95" w14:textId="77777777" w:rsidR="00E00B5D" w:rsidRPr="00964335" w:rsidRDefault="00A30EBE" w:rsidP="00E2398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</w:t>
      </w:r>
      <w:r w:rsidR="00E00B5D"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kurkite sistemą, kuri susided</w:t>
      </w:r>
      <w:r w:rsidR="00A62DDE"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 iš trijų agentų: </w:t>
      </w:r>
      <w:r w:rsidR="00A62DDE"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Agentas A</w:t>
      </w:r>
      <w:r w:rsidR="00E00B5D"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</w:t>
      </w:r>
      <w:r w:rsidR="00E00B5D"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93F11"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Agentas V</w:t>
      </w:r>
      <w:r w:rsidR="00E00B5D"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r w:rsidR="00E00B5D" w:rsidRPr="0096433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Agentas SP</w:t>
      </w:r>
      <w:r w:rsidR="002C7ACD" w:rsidRPr="0096433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65D29AA6" w14:textId="77777777" w:rsidR="00A62DDE" w:rsidRPr="00964335" w:rsidRDefault="00E00B5D" w:rsidP="00E23984">
      <w:pPr>
        <w:jc w:val="both"/>
        <w:rPr>
          <w:rFonts w:ascii="Times New Roman" w:hAnsi="Times New Roman" w:cs="Times New Roman"/>
          <w:sz w:val="24"/>
          <w:szCs w:val="24"/>
        </w:rPr>
      </w:pPr>
      <w:r w:rsidRPr="00964335">
        <w:rPr>
          <w:rFonts w:ascii="Times New Roman" w:hAnsi="Times New Roman" w:cs="Times New Roman"/>
          <w:sz w:val="24"/>
          <w:szCs w:val="24"/>
        </w:rPr>
        <w:t>Įsivaizduokite kad keli draugai sugalvojo eiti</w:t>
      </w:r>
      <w:r w:rsidR="00A30EBE" w:rsidRPr="00964335">
        <w:rPr>
          <w:rFonts w:ascii="Times New Roman" w:hAnsi="Times New Roman" w:cs="Times New Roman"/>
          <w:sz w:val="24"/>
          <w:szCs w:val="24"/>
        </w:rPr>
        <w:t xml:space="preserve"> miestą pavakarieniauti. Prieš iš</w:t>
      </w:r>
      <w:r w:rsidRPr="00964335">
        <w:rPr>
          <w:rFonts w:ascii="Times New Roman" w:hAnsi="Times New Roman" w:cs="Times New Roman"/>
          <w:sz w:val="24"/>
          <w:szCs w:val="24"/>
        </w:rPr>
        <w:t xml:space="preserve">sirenkant restoraną reikia </w:t>
      </w:r>
      <w:proofErr w:type="spellStart"/>
      <w:r w:rsidRPr="00964335">
        <w:rPr>
          <w:rFonts w:ascii="Times New Roman" w:hAnsi="Times New Roman" w:cs="Times New Roman"/>
          <w:sz w:val="24"/>
          <w:szCs w:val="24"/>
        </w:rPr>
        <w:t>nupsręsti</w:t>
      </w:r>
      <w:proofErr w:type="spellEnd"/>
      <w:r w:rsidRPr="00964335">
        <w:rPr>
          <w:rFonts w:ascii="Times New Roman" w:hAnsi="Times New Roman" w:cs="Times New Roman"/>
          <w:sz w:val="24"/>
          <w:szCs w:val="24"/>
        </w:rPr>
        <w:t xml:space="preserve"> ar tai brangus, prieinamos kainos ar  </w:t>
      </w:r>
      <w:r w:rsidR="00A62DDE" w:rsidRPr="00964335">
        <w:rPr>
          <w:rFonts w:ascii="Times New Roman" w:hAnsi="Times New Roman" w:cs="Times New Roman"/>
          <w:sz w:val="24"/>
          <w:szCs w:val="24"/>
        </w:rPr>
        <w:t>pigus</w:t>
      </w:r>
      <w:r w:rsidRPr="00964335">
        <w:rPr>
          <w:rFonts w:ascii="Times New Roman" w:hAnsi="Times New Roman" w:cs="Times New Roman"/>
          <w:sz w:val="24"/>
          <w:szCs w:val="24"/>
        </w:rPr>
        <w:t xml:space="preserve"> restoranas. </w:t>
      </w:r>
      <w:r w:rsidR="00A62DDE" w:rsidRPr="00964335">
        <w:rPr>
          <w:rFonts w:ascii="Times New Roman" w:hAnsi="Times New Roman" w:cs="Times New Roman"/>
          <w:sz w:val="24"/>
          <w:szCs w:val="24"/>
        </w:rPr>
        <w:t>Tam tikslui reikia s</w:t>
      </w:r>
      <w:r w:rsidRPr="00964335">
        <w:rPr>
          <w:rFonts w:ascii="Times New Roman" w:hAnsi="Times New Roman" w:cs="Times New Roman"/>
          <w:sz w:val="24"/>
          <w:szCs w:val="24"/>
        </w:rPr>
        <w:t>ukurti sistemą, kuri padės atsakyti į išsikeltą klausimą.</w:t>
      </w:r>
    </w:p>
    <w:p w14:paraId="5B83BEF3" w14:textId="77777777" w:rsidR="00E00B5D" w:rsidRPr="00964335" w:rsidRDefault="00793F11" w:rsidP="00E23984">
      <w:pPr>
        <w:jc w:val="both"/>
        <w:rPr>
          <w:rFonts w:ascii="Times New Roman" w:hAnsi="Times New Roman" w:cs="Times New Roman"/>
          <w:sz w:val="24"/>
          <w:szCs w:val="24"/>
        </w:rPr>
      </w:pPr>
      <w:r w:rsidRPr="00964335">
        <w:rPr>
          <w:rFonts w:ascii="Times New Roman" w:hAnsi="Times New Roman" w:cs="Times New Roman"/>
          <w:sz w:val="24"/>
          <w:szCs w:val="24"/>
        </w:rPr>
        <w:t>Sistemoje įtraukt</w:t>
      </w:r>
      <w:r w:rsidR="00A62DDE" w:rsidRPr="00964335">
        <w:rPr>
          <w:rFonts w:ascii="Times New Roman" w:hAnsi="Times New Roman" w:cs="Times New Roman"/>
          <w:sz w:val="24"/>
          <w:szCs w:val="24"/>
        </w:rPr>
        <w:t>as</w:t>
      </w:r>
      <w:r w:rsidR="002C7ACD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2C7ACD" w:rsidRPr="00964335">
        <w:rPr>
          <w:rFonts w:ascii="Times New Roman" w:hAnsi="Times New Roman" w:cs="Times New Roman"/>
          <w:b/>
          <w:sz w:val="24"/>
          <w:szCs w:val="24"/>
        </w:rPr>
        <w:t>Ag</w:t>
      </w:r>
      <w:r w:rsidR="00A30EBE" w:rsidRPr="00964335">
        <w:rPr>
          <w:rFonts w:ascii="Times New Roman" w:hAnsi="Times New Roman" w:cs="Times New Roman"/>
          <w:b/>
          <w:sz w:val="24"/>
          <w:szCs w:val="24"/>
        </w:rPr>
        <w:t>entas</w:t>
      </w:r>
      <w:r w:rsidR="002C7ACD" w:rsidRPr="0096433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964335">
        <w:rPr>
          <w:rFonts w:ascii="Times New Roman" w:hAnsi="Times New Roman" w:cs="Times New Roman"/>
          <w:sz w:val="24"/>
          <w:szCs w:val="24"/>
        </w:rPr>
        <w:t xml:space="preserve"> atlieka apklausą, siek</w:t>
      </w:r>
      <w:r w:rsidR="002C7ACD" w:rsidRPr="00964335">
        <w:rPr>
          <w:rFonts w:ascii="Times New Roman" w:hAnsi="Times New Roman" w:cs="Times New Roman"/>
          <w:sz w:val="24"/>
          <w:szCs w:val="24"/>
        </w:rPr>
        <w:t>damas išsiaiškinti kas yra brangu ir ne</w:t>
      </w:r>
      <w:r w:rsidRPr="00964335">
        <w:rPr>
          <w:rFonts w:ascii="Times New Roman" w:hAnsi="Times New Roman" w:cs="Times New Roman"/>
          <w:sz w:val="24"/>
          <w:szCs w:val="24"/>
        </w:rPr>
        <w:t>b</w:t>
      </w:r>
      <w:r w:rsidR="002C7ACD" w:rsidRPr="00964335">
        <w:rPr>
          <w:rFonts w:ascii="Times New Roman" w:hAnsi="Times New Roman" w:cs="Times New Roman"/>
          <w:sz w:val="24"/>
          <w:szCs w:val="24"/>
        </w:rPr>
        <w:t xml:space="preserve">rangu. </w:t>
      </w:r>
      <w:r w:rsidR="005970EA" w:rsidRPr="00964335">
        <w:rPr>
          <w:rFonts w:ascii="Times New Roman" w:hAnsi="Times New Roman" w:cs="Times New Roman"/>
          <w:b/>
          <w:sz w:val="24"/>
          <w:szCs w:val="24"/>
        </w:rPr>
        <w:t>Agentas A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 turi trijų patiekalų sąrašą, kurių kainų įvertis jam leidžia klasifikuoti re</w:t>
      </w:r>
      <w:r w:rsidR="00A62DDE" w:rsidRPr="00964335">
        <w:rPr>
          <w:rFonts w:ascii="Times New Roman" w:hAnsi="Times New Roman" w:cs="Times New Roman"/>
          <w:sz w:val="24"/>
          <w:szCs w:val="24"/>
        </w:rPr>
        <w:t>s</w:t>
      </w:r>
      <w:r w:rsidR="005970EA" w:rsidRPr="00964335">
        <w:rPr>
          <w:rFonts w:ascii="Times New Roman" w:hAnsi="Times New Roman" w:cs="Times New Roman"/>
          <w:sz w:val="24"/>
          <w:szCs w:val="24"/>
        </w:rPr>
        <w:t>toranus. Tas sąrašas susideda iš tokių patiekalų/produktų: (</w:t>
      </w:r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A62DDE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juodos kavos puodelio kaina, (2) dienos sriubos kaina ir (3) jautienos kepsnio kaina. </w:t>
      </w:r>
      <w:r w:rsidR="005970EA" w:rsidRPr="00964335">
        <w:rPr>
          <w:rFonts w:ascii="Times New Roman" w:hAnsi="Times New Roman" w:cs="Times New Roman"/>
          <w:b/>
          <w:sz w:val="24"/>
          <w:szCs w:val="24"/>
        </w:rPr>
        <w:t>Agentas A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 komunikuoja su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 V</w:t>
      </w:r>
      <w:r w:rsidRPr="00964335">
        <w:rPr>
          <w:rFonts w:ascii="Times New Roman" w:hAnsi="Times New Roman" w:cs="Times New Roman"/>
          <w:sz w:val="24"/>
          <w:szCs w:val="24"/>
        </w:rPr>
        <w:t>, kuris pateikia atsakymu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s į užduotus </w:t>
      </w:r>
      <w:r w:rsidRPr="00964335">
        <w:rPr>
          <w:rFonts w:ascii="Times New Roman" w:hAnsi="Times New Roman" w:cs="Times New Roman"/>
          <w:sz w:val="24"/>
          <w:szCs w:val="24"/>
        </w:rPr>
        <w:t xml:space="preserve">jam 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klausimus. </w:t>
      </w:r>
      <w:r w:rsidRPr="00964335">
        <w:rPr>
          <w:rFonts w:ascii="Times New Roman" w:hAnsi="Times New Roman" w:cs="Times New Roman"/>
          <w:b/>
          <w:sz w:val="24"/>
          <w:szCs w:val="24"/>
        </w:rPr>
        <w:t>Agentas A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 klausia kokia kaina k</w:t>
      </w:r>
      <w:r w:rsidR="00A62DDE" w:rsidRPr="00964335">
        <w:rPr>
          <w:rFonts w:ascii="Times New Roman" w:hAnsi="Times New Roman" w:cs="Times New Roman"/>
          <w:sz w:val="24"/>
          <w:szCs w:val="24"/>
        </w:rPr>
        <w:t>iekvienam iš patiekalų yra brang</w:t>
      </w:r>
      <w:r w:rsidR="005970EA" w:rsidRPr="00964335">
        <w:rPr>
          <w:rFonts w:ascii="Times New Roman" w:hAnsi="Times New Roman" w:cs="Times New Roman"/>
          <w:sz w:val="24"/>
          <w:szCs w:val="24"/>
        </w:rPr>
        <w:t>u, nor</w:t>
      </w:r>
      <w:r w:rsidR="00A62DDE" w:rsidRPr="00964335">
        <w:rPr>
          <w:rFonts w:ascii="Times New Roman" w:hAnsi="Times New Roman" w:cs="Times New Roman"/>
          <w:sz w:val="24"/>
          <w:szCs w:val="24"/>
        </w:rPr>
        <w:t>malu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 ir pigu. Pvz., </w:t>
      </w:r>
      <w:r w:rsidRPr="00964335">
        <w:rPr>
          <w:rFonts w:ascii="Times New Roman" w:hAnsi="Times New Roman" w:cs="Times New Roman"/>
          <w:sz w:val="24"/>
          <w:szCs w:val="24"/>
        </w:rPr>
        <w:t>vartotojas</w:t>
      </w:r>
      <w:r w:rsidR="005970EA" w:rsidRPr="00964335">
        <w:rPr>
          <w:rFonts w:ascii="Times New Roman" w:hAnsi="Times New Roman" w:cs="Times New Roman"/>
          <w:sz w:val="24"/>
          <w:szCs w:val="24"/>
        </w:rPr>
        <w:t xml:space="preserve"> gali atsakyti, kad kava brangi &gt;</w:t>
      </w:r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3EUR, </w:t>
      </w:r>
      <w:proofErr w:type="spellStart"/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>normali</w:t>
      </w:r>
      <w:proofErr w:type="spellEnd"/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>kaina</w:t>
      </w:r>
      <w:proofErr w:type="spellEnd"/>
      <w:r w:rsidR="005970EA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=2 EUR, </w:t>
      </w:r>
      <w:proofErr w:type="spellStart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>pigi</w:t>
      </w:r>
      <w:proofErr w:type="spellEnd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&gt;1.5 EUR. </w:t>
      </w:r>
      <w:proofErr w:type="spellStart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>Tokius</w:t>
      </w:r>
      <w:proofErr w:type="spellEnd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>klausimus</w:t>
      </w:r>
      <w:proofErr w:type="spellEnd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>jis</w:t>
      </w:r>
      <w:proofErr w:type="spellEnd"/>
      <w:r w:rsidR="00EE7191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proofErr w:type="spellStart"/>
      <w:r w:rsidR="00EE7191" w:rsidRPr="00964335">
        <w:rPr>
          <w:rFonts w:ascii="Times New Roman" w:hAnsi="Times New Roman" w:cs="Times New Roman"/>
          <w:sz w:val="24"/>
          <w:szCs w:val="24"/>
        </w:rPr>
        <w:t>žduoda</w:t>
      </w:r>
      <w:proofErr w:type="spellEnd"/>
      <w:r w:rsidR="00EE7191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Agentui V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, kuris </w:t>
      </w:r>
      <w:r w:rsidRPr="00964335">
        <w:rPr>
          <w:rFonts w:ascii="Times New Roman" w:hAnsi="Times New Roman" w:cs="Times New Roman"/>
          <w:sz w:val="24"/>
          <w:szCs w:val="24"/>
        </w:rPr>
        <w:t>kiekvien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ą kartą 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imituoja skirtingus </w:t>
      </w:r>
      <w:r w:rsidRPr="00964335">
        <w:rPr>
          <w:rFonts w:ascii="Times New Roman" w:hAnsi="Times New Roman" w:cs="Times New Roman"/>
          <w:sz w:val="24"/>
          <w:szCs w:val="24"/>
        </w:rPr>
        <w:t>vartotojus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, 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1,n</m:t>
            </m:r>
          </m:e>
        </m:bar>
      </m:oMath>
      <w:r w:rsidR="007649CF" w:rsidRPr="00964335">
        <w:rPr>
          <w:rFonts w:ascii="Times New Roman" w:hAnsi="Times New Roman" w:cs="Times New Roman"/>
          <w:sz w:val="24"/>
          <w:szCs w:val="24"/>
        </w:rPr>
        <w:t xml:space="preserve"> su tam tikrais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 atsakymas. 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EE7191" w:rsidRPr="00964335">
        <w:rPr>
          <w:rFonts w:ascii="Times New Roman" w:hAnsi="Times New Roman" w:cs="Times New Roman"/>
          <w:b/>
          <w:sz w:val="24"/>
          <w:szCs w:val="24"/>
        </w:rPr>
        <w:t>Agentas A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 yra nuolatos veikiantis agentas, kuris cikliškai užduoda tokius klausimus ir kas penktą atsakymą suformuoja/atnaujina </w:t>
      </w:r>
      <w:proofErr w:type="spellStart"/>
      <w:r w:rsidR="007649CF" w:rsidRPr="00964335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7649CF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priklausomybės funkcijas kiekvienam iš įėjimų (kava, sriuba, kepsnys). </w:t>
      </w:r>
      <w:r w:rsidR="007649CF" w:rsidRPr="00964335">
        <w:rPr>
          <w:rFonts w:ascii="Times New Roman" w:hAnsi="Times New Roman" w:cs="Times New Roman"/>
          <w:sz w:val="24"/>
          <w:szCs w:val="24"/>
        </w:rPr>
        <w:t>Kiekvienam įėjimui priskiriamos trys kategorijos</w:t>
      </w:r>
      <w:r w:rsidR="00EE7191" w:rsidRPr="00964335">
        <w:rPr>
          <w:rFonts w:ascii="Times New Roman" w:hAnsi="Times New Roman" w:cs="Times New Roman"/>
          <w:sz w:val="24"/>
          <w:szCs w:val="24"/>
        </w:rPr>
        <w:t>,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 kurios  aprašomos priklausomybės funkcijos,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 tačiau </w:t>
      </w:r>
      <w:r w:rsidR="007649CF" w:rsidRPr="00964335">
        <w:rPr>
          <w:rFonts w:ascii="Times New Roman" w:hAnsi="Times New Roman" w:cs="Times New Roman"/>
          <w:sz w:val="24"/>
          <w:szCs w:val="24"/>
        </w:rPr>
        <w:t>tų funkcijų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A30EBE" w:rsidRPr="00964335">
        <w:rPr>
          <w:rFonts w:ascii="Times New Roman" w:hAnsi="Times New Roman" w:cs="Times New Roman"/>
          <w:sz w:val="24"/>
          <w:szCs w:val="24"/>
        </w:rPr>
        <w:t>kintamų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jų 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reikšmės kinta laike, </w:t>
      </w:r>
      <w:r w:rsidR="00A62DDE" w:rsidRPr="00964335">
        <w:rPr>
          <w:rFonts w:ascii="Times New Roman" w:hAnsi="Times New Roman" w:cs="Times New Roman"/>
          <w:sz w:val="24"/>
          <w:szCs w:val="24"/>
        </w:rPr>
        <w:t>nes</w:t>
      </w:r>
      <w:r w:rsidR="00EE7191" w:rsidRPr="00964335">
        <w:rPr>
          <w:rFonts w:ascii="Times New Roman" w:hAnsi="Times New Roman" w:cs="Times New Roman"/>
          <w:sz w:val="24"/>
          <w:szCs w:val="24"/>
        </w:rPr>
        <w:t xml:space="preserve"> su lauku didėja duomenų kiekis. Pvz.: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134"/>
      </w:tblGrid>
      <w:tr w:rsidR="00EE7191" w:rsidRPr="00964335" w14:paraId="588E2337" w14:textId="77777777" w:rsidTr="007649CF">
        <w:tc>
          <w:tcPr>
            <w:tcW w:w="1413" w:type="dxa"/>
          </w:tcPr>
          <w:p w14:paraId="684158A6" w14:textId="77777777" w:rsidR="00EE7191" w:rsidRPr="00964335" w:rsidRDefault="00EE7191" w:rsidP="007649C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Klientas</w:t>
            </w:r>
            <w:proofErr w:type="spellEnd"/>
          </w:p>
        </w:tc>
        <w:tc>
          <w:tcPr>
            <w:tcW w:w="3969" w:type="dxa"/>
            <w:gridSpan w:val="3"/>
          </w:tcPr>
          <w:p w14:paraId="2DF2D97C" w14:textId="77777777" w:rsidR="00EE7191" w:rsidRPr="00964335" w:rsidRDefault="007649CF" w:rsidP="007649C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Kavos</w:t>
            </w:r>
            <w:proofErr w:type="spellEnd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kaina</w:t>
            </w:r>
            <w:proofErr w:type="spellEnd"/>
          </w:p>
        </w:tc>
      </w:tr>
      <w:tr w:rsidR="00EE7191" w:rsidRPr="00964335" w14:paraId="4C0B8EF3" w14:textId="77777777" w:rsidTr="007649CF">
        <w:trPr>
          <w:trHeight w:val="40"/>
        </w:trPr>
        <w:tc>
          <w:tcPr>
            <w:tcW w:w="1413" w:type="dxa"/>
          </w:tcPr>
          <w:p w14:paraId="5FE9E585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B1718C7" w14:textId="77777777" w:rsidR="00EE7191" w:rsidRPr="00964335" w:rsidRDefault="007649CF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B</w:t>
            </w:r>
            <w:r w:rsidR="00EE7191"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rangi</w:t>
            </w:r>
            <w:proofErr w:type="spellEnd"/>
            <w:r w:rsidR="00EE7191"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?</w:t>
            </w:r>
          </w:p>
        </w:tc>
        <w:tc>
          <w:tcPr>
            <w:tcW w:w="1418" w:type="dxa"/>
          </w:tcPr>
          <w:p w14:paraId="301E4EA1" w14:textId="77777777" w:rsidR="00EE7191" w:rsidRPr="00964335" w:rsidRDefault="007649CF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</w:t>
            </w:r>
            <w:r w:rsidR="00EE7191"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ormali</w:t>
            </w:r>
            <w:proofErr w:type="spellEnd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?</w:t>
            </w:r>
          </w:p>
        </w:tc>
        <w:tc>
          <w:tcPr>
            <w:tcW w:w="1134" w:type="dxa"/>
          </w:tcPr>
          <w:p w14:paraId="15BB4325" w14:textId="77777777" w:rsidR="00EE7191" w:rsidRPr="00964335" w:rsidRDefault="007649CF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</w:t>
            </w:r>
            <w:r w:rsidR="00EE7191"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igi</w:t>
            </w:r>
            <w:proofErr w:type="spellEnd"/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?</w:t>
            </w:r>
          </w:p>
        </w:tc>
      </w:tr>
      <w:tr w:rsidR="00EE7191" w:rsidRPr="00964335" w14:paraId="09C4E523" w14:textId="77777777" w:rsidTr="007649CF">
        <w:tc>
          <w:tcPr>
            <w:tcW w:w="1413" w:type="dxa"/>
          </w:tcPr>
          <w:p w14:paraId="7277D611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A5C498D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&gt;3</w:t>
            </w:r>
          </w:p>
        </w:tc>
        <w:tc>
          <w:tcPr>
            <w:tcW w:w="1418" w:type="dxa"/>
          </w:tcPr>
          <w:p w14:paraId="417E9E55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&lt;2</w:t>
            </w:r>
          </w:p>
        </w:tc>
        <w:tc>
          <w:tcPr>
            <w:tcW w:w="1134" w:type="dxa"/>
          </w:tcPr>
          <w:p w14:paraId="318D0350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&lt;1.5</w:t>
            </w:r>
          </w:p>
        </w:tc>
      </w:tr>
      <w:tr w:rsidR="00EE7191" w:rsidRPr="00964335" w14:paraId="4AA74F45" w14:textId="77777777" w:rsidTr="007649CF">
        <w:tc>
          <w:tcPr>
            <w:tcW w:w="1413" w:type="dxa"/>
          </w:tcPr>
          <w:p w14:paraId="619737B8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1417D0B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&gt;4</w:t>
            </w:r>
          </w:p>
        </w:tc>
        <w:tc>
          <w:tcPr>
            <w:tcW w:w="1418" w:type="dxa"/>
          </w:tcPr>
          <w:p w14:paraId="4866B163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&lt;3</w:t>
            </w:r>
          </w:p>
        </w:tc>
        <w:tc>
          <w:tcPr>
            <w:tcW w:w="1134" w:type="dxa"/>
          </w:tcPr>
          <w:p w14:paraId="26B00B1E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&lt;2</w:t>
            </w:r>
          </w:p>
        </w:tc>
      </w:tr>
      <w:tr w:rsidR="00EE7191" w:rsidRPr="00964335" w14:paraId="090C526D" w14:textId="77777777" w:rsidTr="007649CF">
        <w:tc>
          <w:tcPr>
            <w:tcW w:w="1413" w:type="dxa"/>
          </w:tcPr>
          <w:p w14:paraId="0F98EDF3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78ED3B9F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&gt;2.5</w:t>
            </w:r>
          </w:p>
        </w:tc>
        <w:tc>
          <w:tcPr>
            <w:tcW w:w="1418" w:type="dxa"/>
          </w:tcPr>
          <w:p w14:paraId="40153361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&lt;1.5</w:t>
            </w:r>
          </w:p>
        </w:tc>
        <w:tc>
          <w:tcPr>
            <w:tcW w:w="1134" w:type="dxa"/>
          </w:tcPr>
          <w:p w14:paraId="0860EA61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&lt;1.1</w:t>
            </w:r>
          </w:p>
        </w:tc>
      </w:tr>
      <w:tr w:rsidR="00EE7191" w:rsidRPr="00964335" w14:paraId="343124D1" w14:textId="77777777" w:rsidTr="007649CF">
        <w:tc>
          <w:tcPr>
            <w:tcW w:w="1413" w:type="dxa"/>
          </w:tcPr>
          <w:p w14:paraId="38C2C224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229EAECE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&gt;2.2</w:t>
            </w:r>
          </w:p>
        </w:tc>
        <w:tc>
          <w:tcPr>
            <w:tcW w:w="1418" w:type="dxa"/>
          </w:tcPr>
          <w:p w14:paraId="3CA4D281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&lt;1.5</w:t>
            </w:r>
          </w:p>
        </w:tc>
        <w:tc>
          <w:tcPr>
            <w:tcW w:w="1134" w:type="dxa"/>
          </w:tcPr>
          <w:p w14:paraId="1A2C6526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&lt;1.3</w:t>
            </w:r>
          </w:p>
        </w:tc>
      </w:tr>
      <w:tr w:rsidR="00EE7191" w:rsidRPr="00964335" w14:paraId="05992997" w14:textId="77777777" w:rsidTr="007649CF">
        <w:tc>
          <w:tcPr>
            <w:tcW w:w="1413" w:type="dxa"/>
          </w:tcPr>
          <w:p w14:paraId="5C5E40BD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26E67232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&gt;3.5</w:t>
            </w:r>
          </w:p>
        </w:tc>
        <w:tc>
          <w:tcPr>
            <w:tcW w:w="1418" w:type="dxa"/>
          </w:tcPr>
          <w:p w14:paraId="71B7B257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F41AD11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&lt;1.8</w:t>
            </w:r>
          </w:p>
        </w:tc>
      </w:tr>
      <w:tr w:rsidR="00EE7191" w:rsidRPr="00964335" w14:paraId="0CFB7C78" w14:textId="77777777" w:rsidTr="007649CF">
        <w:tc>
          <w:tcPr>
            <w:tcW w:w="1413" w:type="dxa"/>
          </w:tcPr>
          <w:p w14:paraId="5FDD331C" w14:textId="77777777" w:rsidR="00EE7191" w:rsidRPr="00964335" w:rsidRDefault="00EE7191" w:rsidP="00E239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proofErr w:type="spellStart"/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Vidurkis</w:t>
            </w:r>
            <w:proofErr w:type="spellEnd"/>
          </w:p>
        </w:tc>
        <w:tc>
          <w:tcPr>
            <w:tcW w:w="1417" w:type="dxa"/>
          </w:tcPr>
          <w:p w14:paraId="43FEAE49" w14:textId="77777777" w:rsidR="00EE7191" w:rsidRPr="00964335" w:rsidRDefault="00EF6569" w:rsidP="00E239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3.5</w:t>
            </w:r>
          </w:p>
        </w:tc>
        <w:tc>
          <w:tcPr>
            <w:tcW w:w="1418" w:type="dxa"/>
          </w:tcPr>
          <w:p w14:paraId="1C70FCB1" w14:textId="77777777" w:rsidR="00EE7191" w:rsidRPr="00964335" w:rsidRDefault="00EF6569" w:rsidP="00E239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2.33</w:t>
            </w:r>
          </w:p>
        </w:tc>
        <w:tc>
          <w:tcPr>
            <w:tcW w:w="1134" w:type="dxa"/>
          </w:tcPr>
          <w:p w14:paraId="359AC16F" w14:textId="77777777" w:rsidR="00EE7191" w:rsidRPr="00964335" w:rsidRDefault="00EF6569" w:rsidP="00E239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2.0</w:t>
            </w:r>
          </w:p>
        </w:tc>
      </w:tr>
      <w:tr w:rsidR="007649CF" w:rsidRPr="00964335" w14:paraId="1A517FB9" w14:textId="77777777" w:rsidTr="007649CF">
        <w:tc>
          <w:tcPr>
            <w:tcW w:w="1413" w:type="dxa"/>
          </w:tcPr>
          <w:p w14:paraId="26E2C377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647164B9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&gt;3.1</w:t>
            </w:r>
          </w:p>
        </w:tc>
        <w:tc>
          <w:tcPr>
            <w:tcW w:w="1418" w:type="dxa"/>
          </w:tcPr>
          <w:p w14:paraId="6D320BC2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&lt;2</w:t>
            </w:r>
          </w:p>
        </w:tc>
        <w:tc>
          <w:tcPr>
            <w:tcW w:w="1134" w:type="dxa"/>
          </w:tcPr>
          <w:p w14:paraId="33FA09AA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&lt;1.3</w:t>
            </w:r>
          </w:p>
        </w:tc>
      </w:tr>
      <w:tr w:rsidR="007649CF" w:rsidRPr="00964335" w14:paraId="5355D1B6" w14:textId="77777777" w:rsidTr="007649CF">
        <w:tc>
          <w:tcPr>
            <w:tcW w:w="1413" w:type="dxa"/>
          </w:tcPr>
          <w:p w14:paraId="439DA231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1163FE4E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 xml:space="preserve">… </w:t>
            </w:r>
          </w:p>
        </w:tc>
        <w:tc>
          <w:tcPr>
            <w:tcW w:w="1418" w:type="dxa"/>
          </w:tcPr>
          <w:p w14:paraId="441FBB45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1060241B" w14:textId="77777777" w:rsidR="007649CF" w:rsidRPr="00964335" w:rsidRDefault="007649CF" w:rsidP="007649CF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964335"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  <w:t>….</w:t>
            </w:r>
          </w:p>
        </w:tc>
      </w:tr>
    </w:tbl>
    <w:p w14:paraId="1E5B0BE9" w14:textId="77777777" w:rsidR="00EE7191" w:rsidRPr="00964335" w:rsidRDefault="00EF6569" w:rsidP="00E239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335">
        <w:rPr>
          <w:rFonts w:ascii="Times New Roman" w:hAnsi="Times New Roman" w:cs="Times New Roman"/>
          <w:sz w:val="24"/>
          <w:szCs w:val="24"/>
          <w:lang w:val="en-US"/>
        </w:rPr>
        <w:t>Pagal</w:t>
      </w:r>
      <w:proofErr w:type="spellEnd"/>
      <w:r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335">
        <w:rPr>
          <w:rFonts w:ascii="Times New Roman" w:hAnsi="Times New Roman" w:cs="Times New Roman"/>
          <w:sz w:val="24"/>
          <w:szCs w:val="24"/>
          <w:lang w:val="en-US"/>
        </w:rPr>
        <w:t>pateikt</w:t>
      </w:r>
      <w:proofErr w:type="spellEnd"/>
      <w:r w:rsidRPr="00964335">
        <w:rPr>
          <w:rFonts w:ascii="Times New Roman" w:hAnsi="Times New Roman" w:cs="Times New Roman"/>
          <w:sz w:val="24"/>
          <w:szCs w:val="24"/>
        </w:rPr>
        <w:t>ą lentelę galima nubrėžti priklausomybės funkcijas (trikampes</w:t>
      </w:r>
      <w:r w:rsidR="00A62DDE" w:rsidRPr="00964335">
        <w:rPr>
          <w:rFonts w:ascii="Times New Roman" w:hAnsi="Times New Roman" w:cs="Times New Roman"/>
          <w:sz w:val="24"/>
          <w:szCs w:val="24"/>
        </w:rPr>
        <w:t>,</w:t>
      </w:r>
      <w:r w:rsidRPr="00964335">
        <w:rPr>
          <w:rFonts w:ascii="Times New Roman" w:hAnsi="Times New Roman" w:cs="Times New Roman"/>
          <w:sz w:val="24"/>
          <w:szCs w:val="24"/>
        </w:rPr>
        <w:t xml:space="preserve"> trapecines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 ir pan.</w:t>
      </w:r>
      <w:r w:rsidRPr="00964335">
        <w:rPr>
          <w:rFonts w:ascii="Times New Roman" w:hAnsi="Times New Roman" w:cs="Times New Roman"/>
          <w:sz w:val="24"/>
          <w:szCs w:val="24"/>
        </w:rPr>
        <w:t xml:space="preserve">), kadangi žinomos vidutinės, minimalios ir maksimalios funkcijų reikšmės. </w:t>
      </w:r>
    </w:p>
    <w:p w14:paraId="25E4A67D" w14:textId="77777777" w:rsidR="00EF6569" w:rsidRPr="00964335" w:rsidRDefault="007649CF" w:rsidP="00E23984">
      <w:pPr>
        <w:jc w:val="both"/>
        <w:rPr>
          <w:rFonts w:ascii="Times New Roman" w:hAnsi="Times New Roman" w:cs="Times New Roman"/>
          <w:sz w:val="24"/>
          <w:szCs w:val="24"/>
        </w:rPr>
      </w:pPr>
      <w:r w:rsidRPr="00964335">
        <w:rPr>
          <w:rFonts w:ascii="Times New Roman" w:hAnsi="Times New Roman" w:cs="Times New Roman"/>
          <w:b/>
          <w:sz w:val="24"/>
          <w:szCs w:val="24"/>
        </w:rPr>
        <w:t>Agentas V</w:t>
      </w:r>
      <w:r w:rsidR="00EF6569" w:rsidRPr="00964335">
        <w:rPr>
          <w:rFonts w:ascii="Times New Roman" w:hAnsi="Times New Roman" w:cs="Times New Roman"/>
          <w:sz w:val="24"/>
          <w:szCs w:val="24"/>
        </w:rPr>
        <w:t xml:space="preserve"> gavęs klausimą iš </w:t>
      </w:r>
      <w:r w:rsidR="00EF6569" w:rsidRPr="00964335">
        <w:rPr>
          <w:rFonts w:ascii="Times New Roman" w:hAnsi="Times New Roman" w:cs="Times New Roman"/>
          <w:b/>
          <w:sz w:val="24"/>
          <w:szCs w:val="24"/>
        </w:rPr>
        <w:t>Agento A,</w:t>
      </w:r>
      <w:r w:rsidRPr="00964335">
        <w:rPr>
          <w:rFonts w:ascii="Times New Roman" w:hAnsi="Times New Roman" w:cs="Times New Roman"/>
          <w:sz w:val="24"/>
          <w:szCs w:val="24"/>
        </w:rPr>
        <w:t xml:space="preserve"> imituoja skirtingus vartotojus, t</w:t>
      </w:r>
      <w:r w:rsidR="00EF6569" w:rsidRPr="00964335">
        <w:rPr>
          <w:rFonts w:ascii="Times New Roman" w:hAnsi="Times New Roman" w:cs="Times New Roman"/>
          <w:sz w:val="24"/>
          <w:szCs w:val="24"/>
        </w:rPr>
        <w:t>ačiau kas tam tikrą laiką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, </w:t>
      </w:r>
      <w:r w:rsidRPr="00964335">
        <w:rPr>
          <w:rFonts w:ascii="Times New Roman" w:hAnsi="Times New Roman" w:cs="Times New Roman"/>
          <w:b/>
          <w:sz w:val="24"/>
          <w:szCs w:val="24"/>
        </w:rPr>
        <w:t>Agentas V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EF6569" w:rsidRPr="00964335">
        <w:rPr>
          <w:rFonts w:ascii="Times New Roman" w:hAnsi="Times New Roman" w:cs="Times New Roman"/>
          <w:sz w:val="24"/>
          <w:szCs w:val="24"/>
        </w:rPr>
        <w:t xml:space="preserve">imituoja ir </w:t>
      </w:r>
      <w:r w:rsidR="00A30EBE" w:rsidRPr="00964335">
        <w:rPr>
          <w:rFonts w:ascii="Times New Roman" w:hAnsi="Times New Roman" w:cs="Times New Roman"/>
          <w:sz w:val="24"/>
          <w:szCs w:val="24"/>
        </w:rPr>
        <w:t>tur</w:t>
      </w:r>
      <w:r w:rsidR="00E23984" w:rsidRPr="00964335">
        <w:rPr>
          <w:rFonts w:ascii="Times New Roman" w:hAnsi="Times New Roman" w:cs="Times New Roman"/>
          <w:sz w:val="24"/>
          <w:szCs w:val="24"/>
        </w:rPr>
        <w:t>i</w:t>
      </w:r>
      <w:r w:rsidR="00A30EBE" w:rsidRPr="00964335">
        <w:rPr>
          <w:rFonts w:ascii="Times New Roman" w:hAnsi="Times New Roman" w:cs="Times New Roman"/>
          <w:sz w:val="24"/>
          <w:szCs w:val="24"/>
        </w:rPr>
        <w:t>s</w:t>
      </w:r>
      <w:r w:rsidR="00E23984" w:rsidRPr="00964335">
        <w:rPr>
          <w:rFonts w:ascii="Times New Roman" w:hAnsi="Times New Roman" w:cs="Times New Roman"/>
          <w:sz w:val="24"/>
          <w:szCs w:val="24"/>
        </w:rPr>
        <w:t>tą</w:t>
      </w:r>
      <w:r w:rsidR="00EF6569" w:rsidRPr="00964335">
        <w:rPr>
          <w:rFonts w:ascii="Times New Roman" w:hAnsi="Times New Roman" w:cs="Times New Roman"/>
          <w:sz w:val="24"/>
          <w:szCs w:val="24"/>
        </w:rPr>
        <w:t>, kuriam pagal</w:t>
      </w:r>
      <w:r w:rsidR="00E23984" w:rsidRPr="00964335">
        <w:rPr>
          <w:rFonts w:ascii="Times New Roman" w:hAnsi="Times New Roman" w:cs="Times New Roman"/>
          <w:sz w:val="24"/>
          <w:szCs w:val="24"/>
        </w:rPr>
        <w:t xml:space="preserve"> pateiktas trijų patiekalų kainas svarbu sužinoti koks tai restoranas, brangus, normalus ar pigus. </w:t>
      </w:r>
      <w:r w:rsidR="00A62DDE" w:rsidRPr="00964335">
        <w:rPr>
          <w:rFonts w:ascii="Times New Roman" w:hAnsi="Times New Roman" w:cs="Times New Roman"/>
          <w:sz w:val="24"/>
          <w:szCs w:val="24"/>
        </w:rPr>
        <w:t xml:space="preserve">Šį klausimą su </w:t>
      </w:r>
      <w:proofErr w:type="spellStart"/>
      <w:r w:rsidR="00A62DDE" w:rsidRPr="00964335">
        <w:rPr>
          <w:rFonts w:ascii="Times New Roman" w:hAnsi="Times New Roman" w:cs="Times New Roman"/>
          <w:sz w:val="24"/>
          <w:szCs w:val="24"/>
        </w:rPr>
        <w:t>inputų</w:t>
      </w:r>
      <w:proofErr w:type="spellEnd"/>
      <w:r w:rsidR="00A62DDE" w:rsidRPr="00964335">
        <w:rPr>
          <w:rFonts w:ascii="Times New Roman" w:hAnsi="Times New Roman" w:cs="Times New Roman"/>
          <w:sz w:val="24"/>
          <w:szCs w:val="24"/>
        </w:rPr>
        <w:t xml:space="preserve"> reikšmėmis jis užduoda </w:t>
      </w:r>
      <w:r w:rsidR="00A62DDE" w:rsidRPr="00964335">
        <w:rPr>
          <w:rFonts w:ascii="Times New Roman" w:hAnsi="Times New Roman" w:cs="Times New Roman"/>
          <w:b/>
          <w:sz w:val="24"/>
          <w:szCs w:val="24"/>
        </w:rPr>
        <w:t>Agentui A</w:t>
      </w:r>
      <w:r w:rsidR="00A62DDE" w:rsidRPr="00964335">
        <w:rPr>
          <w:rFonts w:ascii="Times New Roman" w:hAnsi="Times New Roman" w:cs="Times New Roman"/>
          <w:sz w:val="24"/>
          <w:szCs w:val="24"/>
        </w:rPr>
        <w:t>.</w:t>
      </w:r>
    </w:p>
    <w:p w14:paraId="4FD3CFC4" w14:textId="77777777" w:rsidR="007649CF" w:rsidRPr="00964335" w:rsidRDefault="007649CF" w:rsidP="00E239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335">
        <w:rPr>
          <w:rFonts w:ascii="Times New Roman" w:hAnsi="Times New Roman" w:cs="Times New Roman"/>
          <w:b/>
          <w:sz w:val="24"/>
          <w:szCs w:val="24"/>
        </w:rPr>
        <w:t>Agentų funkcionalumai:</w:t>
      </w:r>
    </w:p>
    <w:p w14:paraId="0BD6818D" w14:textId="77777777" w:rsidR="00A30EBE" w:rsidRPr="00964335" w:rsidRDefault="00E23984" w:rsidP="00A62DDE">
      <w:pPr>
        <w:jc w:val="both"/>
        <w:rPr>
          <w:rFonts w:ascii="Times New Roman" w:eastAsiaTheme="minorEastAsia" w:hAnsi="Times New Roman" w:cs="Times New Roman"/>
          <w:szCs w:val="24"/>
          <w:lang w:val="en-US"/>
        </w:rPr>
      </w:pPr>
      <w:r w:rsidRPr="00964335">
        <w:rPr>
          <w:rFonts w:ascii="Times New Roman" w:hAnsi="Times New Roman" w:cs="Times New Roman"/>
          <w:b/>
          <w:sz w:val="24"/>
          <w:szCs w:val="24"/>
        </w:rPr>
        <w:t>Agento A</w:t>
      </w:r>
      <w:r w:rsidRPr="00964335">
        <w:rPr>
          <w:rFonts w:ascii="Times New Roman" w:hAnsi="Times New Roman" w:cs="Times New Roman"/>
          <w:sz w:val="24"/>
          <w:szCs w:val="24"/>
        </w:rPr>
        <w:t xml:space="preserve"> funkcija yra sudaryti priklausomybių funkcijas visiems trims įėjimas ir jas kas tam tikrą laiką atnaujinti. Šiuos duomenis jis turi perduoti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Agentui SP</w:t>
      </w:r>
      <w:r w:rsidRPr="00964335">
        <w:rPr>
          <w:rFonts w:ascii="Times New Roman" w:hAnsi="Times New Roman" w:cs="Times New Roman"/>
          <w:sz w:val="24"/>
          <w:szCs w:val="24"/>
        </w:rPr>
        <w:t xml:space="preserve">, kuris remiantis priklausomybės funkcijomis ir 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Pr="00964335">
        <w:rPr>
          <w:rFonts w:ascii="Times New Roman" w:hAnsi="Times New Roman" w:cs="Times New Roman"/>
          <w:sz w:val="24"/>
          <w:szCs w:val="24"/>
        </w:rPr>
        <w:t>sudarytomis tais</w:t>
      </w:r>
      <w:bookmarkStart w:id="0" w:name="_GoBack"/>
      <w:bookmarkEnd w:id="0"/>
      <w:r w:rsidRPr="00964335">
        <w:rPr>
          <w:rFonts w:ascii="Times New Roman" w:hAnsi="Times New Roman" w:cs="Times New Roman"/>
          <w:sz w:val="24"/>
          <w:szCs w:val="24"/>
        </w:rPr>
        <w:t>yklėmis</w:t>
      </w:r>
      <w:r w:rsidR="00A30EBE" w:rsidRPr="00964335">
        <w:rPr>
          <w:rFonts w:ascii="Times New Roman" w:hAnsi="Times New Roman" w:cs="Times New Roman"/>
          <w:sz w:val="24"/>
          <w:szCs w:val="24"/>
        </w:rPr>
        <w:t xml:space="preserve"> (jas sudaro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 Agentas SP)</w:t>
      </w:r>
      <w:r w:rsidRPr="00964335">
        <w:rPr>
          <w:rFonts w:ascii="Times New Roman" w:hAnsi="Times New Roman" w:cs="Times New Roman"/>
          <w:sz w:val="24"/>
          <w:szCs w:val="24"/>
        </w:rPr>
        <w:t xml:space="preserve"> paskaičiuoja atsakymą (</w:t>
      </w:r>
      <w:proofErr w:type="spellStart"/>
      <w:r w:rsidRPr="0096433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64335">
        <w:rPr>
          <w:rFonts w:ascii="Times New Roman" w:hAnsi="Times New Roman" w:cs="Times New Roman"/>
          <w:sz w:val="24"/>
          <w:szCs w:val="24"/>
        </w:rPr>
        <w:t xml:space="preserve">) ir perduoda atgal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Agentui A</w:t>
      </w:r>
      <w:r w:rsidRPr="00964335">
        <w:rPr>
          <w:rFonts w:ascii="Times New Roman" w:hAnsi="Times New Roman" w:cs="Times New Roman"/>
          <w:sz w:val="24"/>
          <w:szCs w:val="24"/>
        </w:rPr>
        <w:t>.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 </w:t>
      </w:r>
      <w:r w:rsidR="007649CF" w:rsidRPr="00964335">
        <w:rPr>
          <w:rFonts w:ascii="Times New Roman" w:hAnsi="Times New Roman" w:cs="Times New Roman"/>
          <w:b/>
          <w:sz w:val="24"/>
          <w:szCs w:val="24"/>
        </w:rPr>
        <w:t>Agentas V</w:t>
      </w:r>
      <w:r w:rsidR="007649CF" w:rsidRPr="00964335">
        <w:rPr>
          <w:rFonts w:ascii="Times New Roman" w:hAnsi="Times New Roman" w:cs="Times New Roman"/>
          <w:sz w:val="24"/>
          <w:szCs w:val="24"/>
        </w:rPr>
        <w:t xml:space="preserve"> yra ir vartotojas ir turistas</w:t>
      </w:r>
      <w:r w:rsidR="00A30EBE" w:rsidRPr="00964335">
        <w:rPr>
          <w:rFonts w:ascii="Times New Roman" w:hAnsi="Times New Roman" w:cs="Times New Roman"/>
          <w:sz w:val="24"/>
          <w:szCs w:val="24"/>
        </w:rPr>
        <w:t xml:space="preserve">. Jeigu Agentas A užduoda klausimus kas </w:t>
      </w:r>
      <w:r w:rsidR="00A30EBE" w:rsidRPr="00964335">
        <w:rPr>
          <w:rFonts w:ascii="Times New Roman" w:hAnsi="Times New Roman" w:cs="Times New Roman"/>
          <w:sz w:val="24"/>
          <w:szCs w:val="24"/>
        </w:rPr>
        <w:sym w:font="Symbol" w:char="F044"/>
      </w:r>
      <w:r w:rsidR="00A30EBE" w:rsidRPr="00964335">
        <w:rPr>
          <w:rFonts w:ascii="Times New Roman" w:hAnsi="Times New Roman" w:cs="Times New Roman"/>
          <w:sz w:val="24"/>
          <w:szCs w:val="24"/>
        </w:rPr>
        <w:t xml:space="preserve">t, tai turistas inicijuojamas kas </w:t>
      </w:r>
      <w:r w:rsidR="00A30EBE" w:rsidRPr="00964335">
        <w:rPr>
          <w:rFonts w:ascii="Times New Roman" w:hAnsi="Times New Roman" w:cs="Times New Roman"/>
          <w:sz w:val="24"/>
          <w:szCs w:val="24"/>
        </w:rPr>
        <w:sym w:font="Symbol" w:char="F044"/>
      </w:r>
      <w:r w:rsidR="00A30EBE" w:rsidRPr="00964335">
        <w:rPr>
          <w:rFonts w:ascii="Times New Roman" w:hAnsi="Times New Roman" w:cs="Times New Roman"/>
          <w:sz w:val="24"/>
          <w:szCs w:val="24"/>
        </w:rPr>
        <w:t>t</w:t>
      </w:r>
      <w:r w:rsidR="00A30EBE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*s, </w:t>
      </w:r>
      <w:proofErr w:type="spellStart"/>
      <w:r w:rsidR="00A30EBE" w:rsidRPr="00964335">
        <w:rPr>
          <w:rFonts w:ascii="Times New Roman" w:hAnsi="Times New Roman" w:cs="Times New Roman"/>
          <w:sz w:val="24"/>
          <w:szCs w:val="24"/>
          <w:lang w:val="en-US"/>
        </w:rPr>
        <w:t>kur</w:t>
      </w:r>
      <w:proofErr w:type="spellEnd"/>
      <w:r w:rsidR="00A30EBE" w:rsidRPr="00964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s=</m:t>
        </m:r>
        <m:bar>
          <m:barPr>
            <m:pos m:val="top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Cs w:val="24"/>
                <w:lang w:val="en-US"/>
              </w:rPr>
              <m:t>8,12</m:t>
            </m:r>
          </m:e>
        </m:bar>
        <m:r>
          <w:rPr>
            <w:rFonts w:ascii="Cambria Math" w:hAnsi="Cambria Math" w:cs="Times New Roman"/>
            <w:szCs w:val="24"/>
            <w:lang w:val="en-US"/>
          </w:rPr>
          <m:t xml:space="preserve">. </m:t>
        </m:r>
      </m:oMath>
    </w:p>
    <w:p w14:paraId="3F34AE8D" w14:textId="77777777" w:rsidR="00E00B5D" w:rsidRPr="00964335" w:rsidRDefault="00A62DDE" w:rsidP="00A62DDE">
      <w:pPr>
        <w:jc w:val="both"/>
        <w:rPr>
          <w:rFonts w:ascii="Times New Roman" w:hAnsi="Times New Roman" w:cs="Times New Roman"/>
          <w:sz w:val="24"/>
          <w:szCs w:val="24"/>
        </w:rPr>
      </w:pPr>
      <w:r w:rsidRPr="00964335">
        <w:rPr>
          <w:rFonts w:ascii="Times New Roman" w:hAnsi="Times New Roman" w:cs="Times New Roman"/>
          <w:b/>
          <w:sz w:val="24"/>
          <w:szCs w:val="24"/>
        </w:rPr>
        <w:t>Agentas A</w:t>
      </w:r>
      <w:r w:rsidRPr="00964335">
        <w:rPr>
          <w:rFonts w:ascii="Times New Roman" w:hAnsi="Times New Roman" w:cs="Times New Roman"/>
          <w:sz w:val="24"/>
          <w:szCs w:val="24"/>
        </w:rPr>
        <w:t xml:space="preserve"> nuolatos komunikuoja su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 Vartotojas</w:t>
      </w:r>
      <w:r w:rsidRPr="00964335">
        <w:rPr>
          <w:rFonts w:ascii="Times New Roman" w:hAnsi="Times New Roman" w:cs="Times New Roman"/>
          <w:sz w:val="24"/>
          <w:szCs w:val="24"/>
        </w:rPr>
        <w:t>.</w:t>
      </w:r>
    </w:p>
    <w:p w14:paraId="35A5DBFA" w14:textId="36CCD223" w:rsidR="005162D1" w:rsidRDefault="00A62DDE" w:rsidP="00A62DDE">
      <w:pPr>
        <w:jc w:val="both"/>
        <w:rPr>
          <w:rFonts w:ascii="Times New Roman" w:hAnsi="Times New Roman" w:cs="Times New Roman"/>
          <w:sz w:val="24"/>
          <w:szCs w:val="24"/>
        </w:rPr>
      </w:pPr>
      <w:r w:rsidRPr="00964335">
        <w:rPr>
          <w:rFonts w:ascii="Times New Roman" w:hAnsi="Times New Roman" w:cs="Times New Roman"/>
          <w:b/>
          <w:sz w:val="24"/>
          <w:szCs w:val="24"/>
        </w:rPr>
        <w:t>Agentas SP</w:t>
      </w:r>
      <w:r w:rsidRPr="00964335">
        <w:rPr>
          <w:rFonts w:ascii="Times New Roman" w:hAnsi="Times New Roman" w:cs="Times New Roman"/>
          <w:sz w:val="24"/>
          <w:szCs w:val="24"/>
        </w:rPr>
        <w:t xml:space="preserve"> komunikuoja tik su </w:t>
      </w:r>
      <w:r w:rsidRPr="00964335">
        <w:rPr>
          <w:rFonts w:ascii="Times New Roman" w:hAnsi="Times New Roman" w:cs="Times New Roman"/>
          <w:b/>
          <w:sz w:val="24"/>
          <w:szCs w:val="24"/>
        </w:rPr>
        <w:t>Agentu A</w:t>
      </w:r>
      <w:r w:rsidRPr="00964335">
        <w:rPr>
          <w:rFonts w:ascii="Times New Roman" w:hAnsi="Times New Roman" w:cs="Times New Roman"/>
          <w:sz w:val="24"/>
          <w:szCs w:val="24"/>
        </w:rPr>
        <w:t>.</w:t>
      </w:r>
    </w:p>
    <w:p w14:paraId="6AA64EFF" w14:textId="77777777" w:rsidR="005162D1" w:rsidRDefault="00516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B8167" w14:textId="256108E7" w:rsidR="00F81294" w:rsidRDefault="00F81294" w:rsidP="00A62D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logikos lygmenys: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294" w14:paraId="0BFBE64D" w14:textId="77777777" w:rsidTr="001D2AAF">
        <w:tc>
          <w:tcPr>
            <w:tcW w:w="4508" w:type="dxa"/>
          </w:tcPr>
          <w:p w14:paraId="08C713FD" w14:textId="796AB311" w:rsidR="00F81294" w:rsidRDefault="00F81294" w:rsidP="001D2AAF">
            <w:pPr>
              <w:jc w:val="both"/>
            </w:pPr>
            <w:r>
              <w:t>Kavos kaina, eurais</w:t>
            </w:r>
          </w:p>
        </w:tc>
        <w:tc>
          <w:tcPr>
            <w:tcW w:w="4508" w:type="dxa"/>
          </w:tcPr>
          <w:p w14:paraId="585690BF" w14:textId="5A99FFB0" w:rsidR="00F81294" w:rsidRDefault="00F81294" w:rsidP="001D2AAF">
            <w:pPr>
              <w:jc w:val="both"/>
            </w:pPr>
            <w:r>
              <w:t xml:space="preserve">Kavos kainos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F81294" w14:paraId="59C50868" w14:textId="77777777" w:rsidTr="001D2AAF">
        <w:tc>
          <w:tcPr>
            <w:tcW w:w="4508" w:type="dxa"/>
          </w:tcPr>
          <w:p w14:paraId="59BED590" w14:textId="6F5662C8" w:rsidR="00F81294" w:rsidRDefault="008D671A" w:rsidP="001D2AAF">
            <w:pPr>
              <w:jc w:val="both"/>
            </w:pPr>
            <w:r>
              <w:t>&lt;2.50</w:t>
            </w:r>
          </w:p>
        </w:tc>
        <w:tc>
          <w:tcPr>
            <w:tcW w:w="4508" w:type="dxa"/>
          </w:tcPr>
          <w:p w14:paraId="0913DAFE" w14:textId="1A392FD1" w:rsidR="00F81294" w:rsidRDefault="0003374E" w:rsidP="001D2AAF">
            <w:pPr>
              <w:jc w:val="both"/>
            </w:pPr>
            <w:proofErr w:type="spellStart"/>
            <w:r>
              <w:t>Cheap</w:t>
            </w:r>
            <w:proofErr w:type="spellEnd"/>
          </w:p>
        </w:tc>
      </w:tr>
      <w:tr w:rsidR="00F81294" w14:paraId="397E0AFD" w14:textId="77777777" w:rsidTr="001D2AAF">
        <w:tc>
          <w:tcPr>
            <w:tcW w:w="4508" w:type="dxa"/>
          </w:tcPr>
          <w:p w14:paraId="76E05837" w14:textId="2ED6A3F3" w:rsidR="00F81294" w:rsidRDefault="00A04F5C" w:rsidP="001D2AAF">
            <w:pPr>
              <w:jc w:val="both"/>
            </w:pPr>
            <w:r>
              <w:t>2.00-3.00</w:t>
            </w:r>
          </w:p>
        </w:tc>
        <w:tc>
          <w:tcPr>
            <w:tcW w:w="4508" w:type="dxa"/>
          </w:tcPr>
          <w:p w14:paraId="17A53F67" w14:textId="774D14BE" w:rsidR="00F81294" w:rsidRDefault="0003374E" w:rsidP="001D2AAF">
            <w:pPr>
              <w:jc w:val="both"/>
            </w:pPr>
            <w:proofErr w:type="spellStart"/>
            <w:r>
              <w:t>Normal</w:t>
            </w:r>
            <w:proofErr w:type="spellEnd"/>
          </w:p>
        </w:tc>
      </w:tr>
      <w:tr w:rsidR="00F81294" w14:paraId="62428EDC" w14:textId="77777777" w:rsidTr="001D2AAF">
        <w:tc>
          <w:tcPr>
            <w:tcW w:w="4508" w:type="dxa"/>
          </w:tcPr>
          <w:p w14:paraId="33786B12" w14:textId="7B5C763E" w:rsidR="00F81294" w:rsidRDefault="00F81294" w:rsidP="001D2AAF">
            <w:pPr>
              <w:jc w:val="both"/>
            </w:pPr>
            <w:r>
              <w:t>&gt;</w:t>
            </w:r>
            <w:r w:rsidR="00A04F5C">
              <w:t>2.50</w:t>
            </w:r>
          </w:p>
        </w:tc>
        <w:tc>
          <w:tcPr>
            <w:tcW w:w="4508" w:type="dxa"/>
          </w:tcPr>
          <w:p w14:paraId="2DB05F3E" w14:textId="2107ECDD" w:rsidR="00F81294" w:rsidRDefault="0003374E" w:rsidP="001D2AAF">
            <w:pPr>
              <w:jc w:val="both"/>
            </w:pPr>
            <w:proofErr w:type="spellStart"/>
            <w:r>
              <w:t>Expensive</w:t>
            </w:r>
            <w:proofErr w:type="spellEnd"/>
          </w:p>
        </w:tc>
      </w:tr>
    </w:tbl>
    <w:p w14:paraId="169F54AC" w14:textId="1F23FF33" w:rsidR="00F81294" w:rsidRDefault="00F81294" w:rsidP="00A62D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F5C" w14:paraId="1C206100" w14:textId="77777777" w:rsidTr="001D2AAF">
        <w:tc>
          <w:tcPr>
            <w:tcW w:w="4508" w:type="dxa"/>
          </w:tcPr>
          <w:p w14:paraId="42CFAFF1" w14:textId="3FA9F33D" w:rsidR="00A04F5C" w:rsidRDefault="00A04F5C" w:rsidP="001D2AAF">
            <w:pPr>
              <w:jc w:val="both"/>
            </w:pPr>
            <w:r>
              <w:t>Sriubos kaina, eurais</w:t>
            </w:r>
          </w:p>
        </w:tc>
        <w:tc>
          <w:tcPr>
            <w:tcW w:w="4508" w:type="dxa"/>
          </w:tcPr>
          <w:p w14:paraId="349D9315" w14:textId="5178931C" w:rsidR="00A04F5C" w:rsidRDefault="00A04F5C" w:rsidP="001D2AAF">
            <w:pPr>
              <w:jc w:val="both"/>
            </w:pPr>
            <w:r>
              <w:t xml:space="preserve">Sriubos kainos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03374E" w14:paraId="57021D24" w14:textId="77777777" w:rsidTr="001D2AAF">
        <w:tc>
          <w:tcPr>
            <w:tcW w:w="4508" w:type="dxa"/>
          </w:tcPr>
          <w:p w14:paraId="213604B5" w14:textId="7A590081" w:rsidR="0003374E" w:rsidRDefault="008D671A" w:rsidP="0003374E">
            <w:pPr>
              <w:jc w:val="both"/>
            </w:pPr>
            <w:r>
              <w:t>&lt;3.5</w:t>
            </w:r>
            <w:r w:rsidR="0003374E">
              <w:t>0</w:t>
            </w:r>
          </w:p>
        </w:tc>
        <w:tc>
          <w:tcPr>
            <w:tcW w:w="4508" w:type="dxa"/>
          </w:tcPr>
          <w:p w14:paraId="305F6713" w14:textId="1768F834" w:rsidR="0003374E" w:rsidRDefault="0003374E" w:rsidP="0003374E">
            <w:pPr>
              <w:jc w:val="both"/>
            </w:pPr>
            <w:proofErr w:type="spellStart"/>
            <w:r>
              <w:t>Cheap</w:t>
            </w:r>
            <w:proofErr w:type="spellEnd"/>
          </w:p>
        </w:tc>
      </w:tr>
      <w:tr w:rsidR="0003374E" w14:paraId="01ABBEB1" w14:textId="77777777" w:rsidTr="001D2AAF">
        <w:tc>
          <w:tcPr>
            <w:tcW w:w="4508" w:type="dxa"/>
          </w:tcPr>
          <w:p w14:paraId="0724D4BC" w14:textId="18EFE3C6" w:rsidR="0003374E" w:rsidRDefault="0003374E" w:rsidP="0003374E">
            <w:pPr>
              <w:jc w:val="both"/>
            </w:pPr>
            <w:r>
              <w:t>3.00-4.50</w:t>
            </w:r>
          </w:p>
        </w:tc>
        <w:tc>
          <w:tcPr>
            <w:tcW w:w="4508" w:type="dxa"/>
          </w:tcPr>
          <w:p w14:paraId="2B01DDEE" w14:textId="645ECA58" w:rsidR="0003374E" w:rsidRDefault="0003374E" w:rsidP="0003374E">
            <w:pPr>
              <w:jc w:val="both"/>
            </w:pPr>
            <w:proofErr w:type="spellStart"/>
            <w:r>
              <w:t>Normal</w:t>
            </w:r>
            <w:proofErr w:type="spellEnd"/>
          </w:p>
        </w:tc>
      </w:tr>
      <w:tr w:rsidR="0003374E" w14:paraId="66426591" w14:textId="77777777" w:rsidTr="001D2AAF">
        <w:tc>
          <w:tcPr>
            <w:tcW w:w="4508" w:type="dxa"/>
          </w:tcPr>
          <w:p w14:paraId="34BF4DDD" w14:textId="704BCCA6" w:rsidR="0003374E" w:rsidRDefault="0003374E" w:rsidP="0003374E">
            <w:pPr>
              <w:jc w:val="both"/>
            </w:pPr>
            <w:r>
              <w:t>&gt;4.00</w:t>
            </w:r>
          </w:p>
        </w:tc>
        <w:tc>
          <w:tcPr>
            <w:tcW w:w="4508" w:type="dxa"/>
          </w:tcPr>
          <w:p w14:paraId="2A1AEEA8" w14:textId="54D2A457" w:rsidR="0003374E" w:rsidRDefault="0003374E" w:rsidP="0003374E">
            <w:pPr>
              <w:jc w:val="both"/>
            </w:pPr>
            <w:proofErr w:type="spellStart"/>
            <w:r>
              <w:t>Expensive</w:t>
            </w:r>
            <w:proofErr w:type="spellEnd"/>
          </w:p>
        </w:tc>
      </w:tr>
    </w:tbl>
    <w:p w14:paraId="43021AEC" w14:textId="1C3F50E8" w:rsidR="00A04F5C" w:rsidRDefault="00A04F5C" w:rsidP="00A62D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F5C" w14:paraId="66F40B8C" w14:textId="77777777" w:rsidTr="001D2AAF">
        <w:tc>
          <w:tcPr>
            <w:tcW w:w="4508" w:type="dxa"/>
          </w:tcPr>
          <w:p w14:paraId="251F74E6" w14:textId="60A8334E" w:rsidR="00A04F5C" w:rsidRDefault="00A04F5C" w:rsidP="001D2AAF">
            <w:pPr>
              <w:jc w:val="both"/>
            </w:pPr>
            <w:r>
              <w:t>Kepsnio kaina, eurais</w:t>
            </w:r>
          </w:p>
        </w:tc>
        <w:tc>
          <w:tcPr>
            <w:tcW w:w="4508" w:type="dxa"/>
          </w:tcPr>
          <w:p w14:paraId="42D45600" w14:textId="5B229382" w:rsidR="00A04F5C" w:rsidRDefault="00A04F5C" w:rsidP="001D2AAF">
            <w:pPr>
              <w:jc w:val="both"/>
            </w:pPr>
            <w:r>
              <w:t xml:space="preserve">Kepsnio kainos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03374E" w14:paraId="28E3498C" w14:textId="77777777" w:rsidTr="001D2AAF">
        <w:tc>
          <w:tcPr>
            <w:tcW w:w="4508" w:type="dxa"/>
          </w:tcPr>
          <w:p w14:paraId="3B6BF9FD" w14:textId="327B4F86" w:rsidR="0003374E" w:rsidRDefault="008D671A" w:rsidP="0003374E">
            <w:pPr>
              <w:jc w:val="both"/>
            </w:pPr>
            <w:r>
              <w:t>&lt;12</w:t>
            </w:r>
            <w:r w:rsidR="0003374E">
              <w:t>.00</w:t>
            </w:r>
          </w:p>
        </w:tc>
        <w:tc>
          <w:tcPr>
            <w:tcW w:w="4508" w:type="dxa"/>
          </w:tcPr>
          <w:p w14:paraId="3862299D" w14:textId="4B1AB2F0" w:rsidR="0003374E" w:rsidRDefault="0003374E" w:rsidP="0003374E">
            <w:pPr>
              <w:jc w:val="both"/>
            </w:pPr>
            <w:proofErr w:type="spellStart"/>
            <w:r>
              <w:t>Cheap</w:t>
            </w:r>
            <w:proofErr w:type="spellEnd"/>
          </w:p>
        </w:tc>
      </w:tr>
      <w:tr w:rsidR="0003374E" w14:paraId="6A6FF2E9" w14:textId="77777777" w:rsidTr="001D2AAF">
        <w:tc>
          <w:tcPr>
            <w:tcW w:w="4508" w:type="dxa"/>
          </w:tcPr>
          <w:p w14:paraId="32894DB6" w14:textId="7F8EFECD" w:rsidR="0003374E" w:rsidRDefault="0003374E" w:rsidP="0003374E">
            <w:pPr>
              <w:jc w:val="both"/>
            </w:pPr>
            <w:r>
              <w:t>8.00-15.00</w:t>
            </w:r>
          </w:p>
        </w:tc>
        <w:tc>
          <w:tcPr>
            <w:tcW w:w="4508" w:type="dxa"/>
          </w:tcPr>
          <w:p w14:paraId="58770E64" w14:textId="36B3C744" w:rsidR="0003374E" w:rsidRDefault="0003374E" w:rsidP="0003374E">
            <w:pPr>
              <w:jc w:val="both"/>
            </w:pPr>
            <w:proofErr w:type="spellStart"/>
            <w:r>
              <w:t>Normal</w:t>
            </w:r>
            <w:proofErr w:type="spellEnd"/>
          </w:p>
        </w:tc>
      </w:tr>
      <w:tr w:rsidR="0003374E" w14:paraId="2F23A2B1" w14:textId="77777777" w:rsidTr="001D2AAF">
        <w:tc>
          <w:tcPr>
            <w:tcW w:w="4508" w:type="dxa"/>
          </w:tcPr>
          <w:p w14:paraId="63C6B3A7" w14:textId="5B5371E8" w:rsidR="0003374E" w:rsidRDefault="0003374E" w:rsidP="0003374E">
            <w:pPr>
              <w:jc w:val="both"/>
            </w:pPr>
            <w:r>
              <w:t>&gt;13.00</w:t>
            </w:r>
          </w:p>
        </w:tc>
        <w:tc>
          <w:tcPr>
            <w:tcW w:w="4508" w:type="dxa"/>
          </w:tcPr>
          <w:p w14:paraId="58E6F3CB" w14:textId="04538411" w:rsidR="0003374E" w:rsidRDefault="0003374E" w:rsidP="0003374E">
            <w:pPr>
              <w:jc w:val="both"/>
            </w:pPr>
            <w:proofErr w:type="spellStart"/>
            <w:r>
              <w:t>Expensive</w:t>
            </w:r>
            <w:proofErr w:type="spellEnd"/>
          </w:p>
        </w:tc>
      </w:tr>
    </w:tbl>
    <w:p w14:paraId="440F96F8" w14:textId="7DD906BC" w:rsidR="00A04F5C" w:rsidRDefault="00A04F5C" w:rsidP="00A62D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DEF" w14:paraId="6C4459C4" w14:textId="77777777" w:rsidTr="001D2AAF">
        <w:tc>
          <w:tcPr>
            <w:tcW w:w="4508" w:type="dxa"/>
          </w:tcPr>
          <w:p w14:paraId="178ABC98" w14:textId="62247BA1" w:rsidR="00FF0DEF" w:rsidRDefault="00FF0DEF" w:rsidP="001D2AAF">
            <w:pPr>
              <w:jc w:val="both"/>
            </w:pPr>
            <w:r>
              <w:t>Restorano įvertinimas, balai</w:t>
            </w:r>
          </w:p>
        </w:tc>
        <w:tc>
          <w:tcPr>
            <w:tcW w:w="4508" w:type="dxa"/>
          </w:tcPr>
          <w:p w14:paraId="4071E3FE" w14:textId="7B9BCC72" w:rsidR="00FF0DEF" w:rsidRDefault="00FF0DEF" w:rsidP="001D2AAF">
            <w:pPr>
              <w:jc w:val="both"/>
            </w:pPr>
            <w:r>
              <w:t>Re</w:t>
            </w:r>
            <w:r w:rsidR="00F77A59">
              <w:t>storano</w:t>
            </w:r>
            <w:r>
              <w:t xml:space="preserve"> </w:t>
            </w:r>
            <w:proofErr w:type="spellStart"/>
            <w:r>
              <w:t>Fuzzy</w:t>
            </w:r>
            <w:proofErr w:type="spellEnd"/>
            <w:r>
              <w:t xml:space="preserve"> lygmuo</w:t>
            </w:r>
          </w:p>
        </w:tc>
      </w:tr>
      <w:tr w:rsidR="00FF0DEF" w14:paraId="0312154D" w14:textId="77777777" w:rsidTr="001D2AAF">
        <w:tc>
          <w:tcPr>
            <w:tcW w:w="4508" w:type="dxa"/>
          </w:tcPr>
          <w:p w14:paraId="1534B3E2" w14:textId="4F5BDA57" w:rsidR="00FF0DEF" w:rsidRDefault="00B54630" w:rsidP="001D2AAF">
            <w:pPr>
              <w:jc w:val="both"/>
            </w:pPr>
            <w:r>
              <w:t>&lt;4</w:t>
            </w:r>
          </w:p>
        </w:tc>
        <w:tc>
          <w:tcPr>
            <w:tcW w:w="4508" w:type="dxa"/>
          </w:tcPr>
          <w:p w14:paraId="21E5AC5C" w14:textId="63AA18EF" w:rsidR="00FF0DEF" w:rsidRDefault="0003374E" w:rsidP="001D2AAF">
            <w:pPr>
              <w:jc w:val="both"/>
            </w:pPr>
            <w:proofErr w:type="spellStart"/>
            <w:r>
              <w:t>Cheap</w:t>
            </w:r>
            <w:proofErr w:type="spellEnd"/>
          </w:p>
        </w:tc>
      </w:tr>
      <w:tr w:rsidR="00FF0DEF" w14:paraId="3F879BF2" w14:textId="77777777" w:rsidTr="001D2AAF">
        <w:tc>
          <w:tcPr>
            <w:tcW w:w="4508" w:type="dxa"/>
          </w:tcPr>
          <w:p w14:paraId="67C7D036" w14:textId="2CB3BBBF" w:rsidR="00FF0DEF" w:rsidRDefault="00B54630" w:rsidP="001D2AAF">
            <w:pPr>
              <w:jc w:val="both"/>
            </w:pPr>
            <w:r>
              <w:t>2-8</w:t>
            </w:r>
          </w:p>
        </w:tc>
        <w:tc>
          <w:tcPr>
            <w:tcW w:w="4508" w:type="dxa"/>
          </w:tcPr>
          <w:p w14:paraId="778B8C05" w14:textId="1D54130E" w:rsidR="00FF0DEF" w:rsidRDefault="0003374E" w:rsidP="001D2AAF">
            <w:pPr>
              <w:jc w:val="both"/>
            </w:pPr>
            <w:proofErr w:type="spellStart"/>
            <w:r>
              <w:t>Affordable</w:t>
            </w:r>
            <w:proofErr w:type="spellEnd"/>
          </w:p>
        </w:tc>
      </w:tr>
      <w:tr w:rsidR="00FF0DEF" w14:paraId="3316B347" w14:textId="77777777" w:rsidTr="001D2AAF">
        <w:tc>
          <w:tcPr>
            <w:tcW w:w="4508" w:type="dxa"/>
          </w:tcPr>
          <w:p w14:paraId="50765DC4" w14:textId="67536080" w:rsidR="00FF0DEF" w:rsidRDefault="00FD0330" w:rsidP="001D2AAF">
            <w:pPr>
              <w:jc w:val="both"/>
            </w:pPr>
            <w:r>
              <w:t>&gt;6</w:t>
            </w:r>
          </w:p>
        </w:tc>
        <w:tc>
          <w:tcPr>
            <w:tcW w:w="4508" w:type="dxa"/>
          </w:tcPr>
          <w:p w14:paraId="67F813A6" w14:textId="2F648B3E" w:rsidR="00FF0DEF" w:rsidRDefault="0003374E" w:rsidP="001D2AAF">
            <w:pPr>
              <w:jc w:val="both"/>
            </w:pPr>
            <w:proofErr w:type="spellStart"/>
            <w:r>
              <w:t>Luxurious</w:t>
            </w:r>
            <w:proofErr w:type="spellEnd"/>
          </w:p>
        </w:tc>
      </w:tr>
    </w:tbl>
    <w:p w14:paraId="09E45482" w14:textId="77777777" w:rsidR="00FF0DEF" w:rsidRDefault="00FF0DEF" w:rsidP="00A62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F088B" w14:textId="5A108227" w:rsidR="00F81294" w:rsidRDefault="005162D1" w:rsidP="00A62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Taisyklės: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98"/>
        <w:gridCol w:w="1770"/>
        <w:gridCol w:w="951"/>
        <w:gridCol w:w="1634"/>
        <w:gridCol w:w="1080"/>
        <w:gridCol w:w="1701"/>
        <w:gridCol w:w="1403"/>
      </w:tblGrid>
      <w:tr w:rsidR="00F81294" w14:paraId="398A9D48" w14:textId="77777777" w:rsidTr="0038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49E9582" w14:textId="77777777" w:rsidR="00F81294" w:rsidRDefault="00F81294" w:rsidP="0003374E">
            <w:pPr>
              <w:ind w:left="-25"/>
            </w:pPr>
            <w:r>
              <w:t>Nr.</w:t>
            </w:r>
          </w:p>
        </w:tc>
        <w:tc>
          <w:tcPr>
            <w:tcW w:w="1770" w:type="dxa"/>
          </w:tcPr>
          <w:p w14:paraId="12DA74CB" w14:textId="04652F71" w:rsidR="00F81294" w:rsidRDefault="0003374E" w:rsidP="001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Kavos kaina</w:t>
            </w:r>
          </w:p>
        </w:tc>
        <w:tc>
          <w:tcPr>
            <w:tcW w:w="951" w:type="dxa"/>
          </w:tcPr>
          <w:p w14:paraId="61BF5E0B" w14:textId="77777777" w:rsidR="00F81294" w:rsidRDefault="00F81294" w:rsidP="001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dxa"/>
          </w:tcPr>
          <w:p w14:paraId="0587C516" w14:textId="40199703" w:rsidR="00F81294" w:rsidRDefault="0003374E" w:rsidP="001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Sriubos kaina</w:t>
            </w:r>
          </w:p>
        </w:tc>
        <w:tc>
          <w:tcPr>
            <w:tcW w:w="1080" w:type="dxa"/>
          </w:tcPr>
          <w:p w14:paraId="44A07E7C" w14:textId="77777777" w:rsidR="00F81294" w:rsidRDefault="00F81294" w:rsidP="001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C213C4D" w14:textId="30C336FE" w:rsidR="00F81294" w:rsidRDefault="0003374E" w:rsidP="001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Kepsnio kaina</w:t>
            </w:r>
          </w:p>
        </w:tc>
        <w:tc>
          <w:tcPr>
            <w:tcW w:w="1403" w:type="dxa"/>
          </w:tcPr>
          <w:p w14:paraId="02134D56" w14:textId="1340B768" w:rsidR="00F81294" w:rsidRDefault="0003374E" w:rsidP="0003374E">
            <w:pPr>
              <w:ind w:left="-535" w:firstLine="53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Restoranas</w:t>
            </w:r>
          </w:p>
        </w:tc>
      </w:tr>
      <w:tr w:rsidR="003B31B2" w14:paraId="19FE2FD7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5C0A01D" w14:textId="77777777" w:rsidR="003B31B2" w:rsidRDefault="003B31B2" w:rsidP="003B31B2">
            <w:r>
              <w:t>1.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B318F" w14:textId="77698F4D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Sheet1!A2:F7"/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bookmarkEnd w:id="1"/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8F732" w14:textId="27AB63DA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FEE23" w14:textId="752264CE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F9EA9" w14:textId="43821F08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6B374" w14:textId="71ED5AD5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F3EF0" w14:textId="39C290EB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</w:tr>
      <w:tr w:rsidR="003B31B2" w14:paraId="3512EF90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77E1CDA" w14:textId="77777777" w:rsidR="003B31B2" w:rsidRDefault="003B31B2" w:rsidP="003B31B2">
            <w:r>
              <w:t>2.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5B78D" w14:textId="783E64CE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F8CB0" w14:textId="0CAE2016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52E6E" w14:textId="0F11992D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2FA6B" w14:textId="312E1B21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DA726" w14:textId="50D39B47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23332" w14:textId="60F8C7E9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</w:tr>
      <w:tr w:rsidR="003B31B2" w14:paraId="699D3D5F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27D3E75" w14:textId="77777777" w:rsidR="003B31B2" w:rsidRDefault="003B31B2" w:rsidP="003B31B2">
            <w:r>
              <w:t>3.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1CB80" w14:textId="431A1CAC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89B6E" w14:textId="5BCAC2F5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FB210" w14:textId="0CA60DFE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EE741" w14:textId="59738CB5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817B" w14:textId="40E9E7E0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0F7E" w14:textId="68715A55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</w:tr>
      <w:tr w:rsidR="003B31B2" w14:paraId="1466638C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48553B" w14:textId="77777777" w:rsidR="003B31B2" w:rsidRDefault="003B31B2" w:rsidP="003B31B2">
            <w:r>
              <w:t>4.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A8B9C" w14:textId="5FA3668A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A849E" w14:textId="1AA1990C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E4392" w14:textId="44791DD4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2FBEA" w14:textId="757A17E4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72052" w14:textId="67F389C6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FB457" w14:textId="04F96C31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</w:tr>
      <w:tr w:rsidR="003B31B2" w14:paraId="038F2AD2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705A1BD" w14:textId="77777777" w:rsidR="003B31B2" w:rsidRDefault="003B31B2" w:rsidP="003B31B2">
            <w:r>
              <w:t>5.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AAC1F" w14:textId="6FB83F8E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A00A6" w14:textId="0A6B2DCA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CA0" w14:textId="4CC853F5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06211" w14:textId="3C49B2F9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F0C02" w14:textId="7263D38B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C6D6F" w14:textId="7AB77A92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575BEF69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266A788E" w14:textId="77777777" w:rsidR="003B31B2" w:rsidRDefault="003B31B2" w:rsidP="003B31B2">
            <w:r>
              <w:t>6.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FB740" w14:textId="6BE635A3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60005" w14:textId="79A49F21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B9DA1" w14:textId="3B79AB00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AECDA" w14:textId="45A1FC23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25FD" w14:textId="72529C16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716A0" w14:textId="663ADBDF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2F6E1696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CFC6F93" w14:textId="77777777" w:rsidR="003B31B2" w:rsidRDefault="003B31B2" w:rsidP="003B31B2">
            <w:r>
              <w:t>7.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151D6" w14:textId="7B11D8CB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D6D42" w14:textId="76B6DB54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57A2E" w14:textId="600921D2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D24A2" w14:textId="59635C50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32050" w14:textId="53D95FE6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5F27" w14:textId="5540D78A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477438A2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2D6553E8" w14:textId="77777777" w:rsidR="003B31B2" w:rsidRDefault="003B31B2" w:rsidP="003B31B2">
            <w:r>
              <w:t>8.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0B5D6" w14:textId="3399B2EF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CA250" w14:textId="2A724096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BD384" w14:textId="7C247216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E63D7" w14:textId="1D39ADA8" w:rsidR="003B31B2" w:rsidRPr="0003374E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916BB" w14:textId="48C7BCA7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9E5DE" w14:textId="319D3C78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400971C6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AD8787" w14:textId="77777777" w:rsidR="003B31B2" w:rsidRDefault="003B31B2" w:rsidP="003B31B2">
            <w:r>
              <w:t>9.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5165E" w14:textId="78258D59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7E334" w14:textId="53AC93A8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3E734" w14:textId="1EA9657B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9A143" w14:textId="63A6E42B" w:rsidR="003B31B2" w:rsidRPr="0003374E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C6C57" w14:textId="148C2036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5401C" w14:textId="5EBC823F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064E7B2E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55E9FA8" w14:textId="77777777" w:rsidR="003B31B2" w:rsidRDefault="003B31B2" w:rsidP="003B31B2">
            <w:r>
              <w:t>10.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FCAFE" w14:textId="00DD816F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B5FBF" w14:textId="4CBB2AEF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4E452" w14:textId="436AE1BA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817FE" w14:textId="766265C6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D755D" w14:textId="37E74887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67FF" w14:textId="3ED63697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Affordable</w:t>
            </w:r>
            <w:proofErr w:type="spellEnd"/>
          </w:p>
        </w:tc>
      </w:tr>
      <w:tr w:rsidR="003B31B2" w14:paraId="0733D229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2D4D255" w14:textId="7335F298" w:rsidR="003B31B2" w:rsidRDefault="003B31B2" w:rsidP="003B31B2">
            <w:r>
              <w:t>11.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5EC55" w14:textId="3AF906A3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85079" w14:textId="7E807580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3F265" w14:textId="2128AAFC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6EEA0" w14:textId="30344636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D331D" w14:textId="60765617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EA1D8" w14:textId="36D18D58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Luxurious</w:t>
            </w:r>
            <w:proofErr w:type="spellEnd"/>
          </w:p>
        </w:tc>
      </w:tr>
      <w:tr w:rsidR="003B31B2" w14:paraId="3A4AAE3D" w14:textId="77777777" w:rsidTr="00AD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F70C580" w14:textId="65FE6663" w:rsidR="003B31B2" w:rsidRDefault="003B31B2" w:rsidP="003B31B2">
            <w:r>
              <w:t>12.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597C4" w14:textId="20282C68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C12FE" w14:textId="403C578A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17D7B" w14:textId="65F72717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79E0A" w14:textId="55A39504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6D4FA" w14:textId="7F98975C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551AA" w14:textId="1BF3AD9E" w:rsidR="003B31B2" w:rsidRDefault="003B31B2" w:rsidP="003B3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Luxurious</w:t>
            </w:r>
            <w:proofErr w:type="spellEnd"/>
          </w:p>
        </w:tc>
      </w:tr>
      <w:tr w:rsidR="003B31B2" w14:paraId="0A2B607B" w14:textId="77777777" w:rsidTr="00A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39C287D" w14:textId="3EB24B66" w:rsidR="003B31B2" w:rsidRDefault="003B31B2" w:rsidP="003B31B2">
            <w:r>
              <w:t>13.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A2B1D" w14:textId="6E58505A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Normal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4B9FE" w14:textId="4D0F7140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049E5" w14:textId="64787519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NOT(</w:t>
            </w:r>
            <w:proofErr w:type="spellStart"/>
            <w:r>
              <w:rPr>
                <w:rFonts w:ascii="Calibri" w:hAnsi="Calibri"/>
                <w:color w:val="000000"/>
              </w:rPr>
              <w:t>Cheap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FC384" w14:textId="7C31198B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and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52F4" w14:textId="02ADE50F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Expensive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736BA" w14:textId="643911CA" w:rsidR="003B31B2" w:rsidRDefault="003B31B2" w:rsidP="003B3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</w:rPr>
              <w:t>Luxurious</w:t>
            </w:r>
            <w:proofErr w:type="spellEnd"/>
          </w:p>
        </w:tc>
      </w:tr>
    </w:tbl>
    <w:p w14:paraId="1CD8CF8A" w14:textId="77777777" w:rsidR="00F81294" w:rsidRDefault="00F81294" w:rsidP="00A62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EDEC6" w14:textId="1BCFABD5" w:rsidR="005162D1" w:rsidRPr="005162D1" w:rsidRDefault="005162D1" w:rsidP="00A62DD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162D1" w:rsidRPr="005162D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5D"/>
    <w:rsid w:val="000116F9"/>
    <w:rsid w:val="0003374E"/>
    <w:rsid w:val="001A4D70"/>
    <w:rsid w:val="001E399D"/>
    <w:rsid w:val="002C7ACD"/>
    <w:rsid w:val="003819FD"/>
    <w:rsid w:val="003B31B2"/>
    <w:rsid w:val="00450FF8"/>
    <w:rsid w:val="004971FA"/>
    <w:rsid w:val="004C08F3"/>
    <w:rsid w:val="005162D1"/>
    <w:rsid w:val="00521645"/>
    <w:rsid w:val="00531727"/>
    <w:rsid w:val="005970EA"/>
    <w:rsid w:val="005A1E87"/>
    <w:rsid w:val="005C0372"/>
    <w:rsid w:val="005F2024"/>
    <w:rsid w:val="00620CA1"/>
    <w:rsid w:val="00675021"/>
    <w:rsid w:val="00684B1C"/>
    <w:rsid w:val="007642BD"/>
    <w:rsid w:val="007649CF"/>
    <w:rsid w:val="00793F11"/>
    <w:rsid w:val="00811F74"/>
    <w:rsid w:val="00847ED2"/>
    <w:rsid w:val="008D671A"/>
    <w:rsid w:val="008F60C6"/>
    <w:rsid w:val="00964335"/>
    <w:rsid w:val="00A04F5C"/>
    <w:rsid w:val="00A30EBE"/>
    <w:rsid w:val="00A56209"/>
    <w:rsid w:val="00A62DDE"/>
    <w:rsid w:val="00AC7830"/>
    <w:rsid w:val="00AE6DA3"/>
    <w:rsid w:val="00B54630"/>
    <w:rsid w:val="00BE0C5B"/>
    <w:rsid w:val="00C3524E"/>
    <w:rsid w:val="00CD575C"/>
    <w:rsid w:val="00E00B5D"/>
    <w:rsid w:val="00E23984"/>
    <w:rsid w:val="00E77D2C"/>
    <w:rsid w:val="00E86FBC"/>
    <w:rsid w:val="00ED30E7"/>
    <w:rsid w:val="00EE7191"/>
    <w:rsid w:val="00EF6569"/>
    <w:rsid w:val="00F14A1A"/>
    <w:rsid w:val="00F22A62"/>
    <w:rsid w:val="00F77A59"/>
    <w:rsid w:val="00F81294"/>
    <w:rsid w:val="00FB270B"/>
    <w:rsid w:val="00FD0330"/>
    <w:rsid w:val="00F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43BF"/>
  <w15:chartTrackingRefBased/>
  <w15:docId w15:val="{09CFE85D-66B6-46C6-BDBD-89BFFCDE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D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64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2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BD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77D2C"/>
    <w:rPr>
      <w:i/>
      <w:iCs/>
      <w:color w:val="404040" w:themeColor="text1" w:themeTint="BF"/>
    </w:rPr>
  </w:style>
  <w:style w:type="table" w:styleId="ListTable1Light-Accent1">
    <w:name w:val="List Table 1 Light Accent 1"/>
    <w:basedOn w:val="TableNormal"/>
    <w:uiPriority w:val="46"/>
    <w:rsid w:val="00F81294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819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02F9-E9B0-4367-B1BF-3F476097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</Pages>
  <Words>2460</Words>
  <Characters>1403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</dc:creator>
  <cp:keywords/>
  <dc:description/>
  <cp:lastModifiedBy>Kazlauskas Mangirdas</cp:lastModifiedBy>
  <cp:revision>32</cp:revision>
  <dcterms:created xsi:type="dcterms:W3CDTF">2017-04-27T10:42:00Z</dcterms:created>
  <dcterms:modified xsi:type="dcterms:W3CDTF">2017-05-21T21:34:00Z</dcterms:modified>
</cp:coreProperties>
</file>