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4"/>
          <w:szCs w:val="34"/>
        </w:rPr>
        <w:t xml:space="preserve">Module 3 — Interim Presentation Study Guide</w:t>
      </w:r>
    </w:p>
    <w:p>
      <w:pPr>
        <w:spacing w:after="260"/>
        <w:jc w:val="center"/>
      </w:pPr>
      <w:r>
        <w:rPr>
          <w:rFonts w:ascii="Arial" w:cs="Arial" w:eastAsia="Arial" w:hAnsi="Arial"/>
          <w:i/>
          <w:iCs/>
          <w:color w:val="666666"/>
          <w:sz w:val="22"/>
          <w:szCs w:val="22"/>
        </w:rPr>
        <w:t xml:space="preserve">What is done, the literature, methodology, evaluation, and every question you might be asked</w:t>
      </w:r>
    </w:p>
    <w:p>
      <w:pPr>
        <w:pStyle w:val="Heading1"/>
      </w:pPr>
      <w:r>
        <w:t xml:space="preserve">1. The 60-second summary (say this if asked 'what is your module?')</w:t>
      </w:r>
    </w:p>
    <w:p>
      <w:pPr>
        <w:spacing w:after="120" w:line="268"/>
        <w:jc w:val="both"/>
      </w:pPr>
      <w:r>
        <w:rPr>
          <w:rFonts w:ascii="Arial" w:cs="Arial" w:eastAsia="Arial" w:hAnsi="Arial"/>
          <w:sz w:val="21"/>
          <w:szCs w:val="21"/>
        </w:rPr>
        <w:t xml:space="preserve">Module 3 is the behavioural decision engine of a three-module fraud-detection system. Modules 1 and 2 (by my teammates) handle adversarial input filtering and population-level drift. My module decides whether a single transaction is fraudulent by looking not at that transaction alone, but at the customer's last five transactions as an ordered sequence, read in both time directions by a bidirectional LSTM, and combined with features describing how unusual the merchant is. The core idea is that fraud often looks normal transaction-by-transaction but abnormal as a sequence. I have completed the feature pipeline (Phase 1) and the model (Phase 2), and the trained model reaches PR-AUC 0.87 and F1 0.84 on a held-out test set.</w:t>
      </w:r>
    </w:p>
    <w:p>
      <w:pPr>
        <w:pStyle w:val="Heading1"/>
      </w:pPr>
      <w:r>
        <w:t xml:space="preserve">2. What is completed vs. what is upcoming</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What have you completed so far?</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Phase 1 — the full feature pipeline: it turns the raw transaction file into two model inputs (a 5-step sequence tensor per customer, and a merchant-network feature vector), with leakage controls and a temporal split.</w:t>
      </w:r>
    </w:p>
    <w:p>
      <w:pPr>
        <w:spacing w:after="100" w:line="268"/>
        <w:jc w:val="both"/>
      </w:pPr>
      <w:r>
        <w:rPr>
          <w:rFonts w:ascii="Arial" w:cs="Arial" w:eastAsia="Arial" w:hAnsi="Arial"/>
          <w:sz w:val="21"/>
          <w:szCs w:val="21"/>
        </w:rPr>
        <w:t xml:space="preserve">Phase 2 — the hybrid model: a two-branch neural network (bidirectional LSTM + dense merchant branch) trained with Focal Loss, evaluated on the temporal test set, with an ablation against a unidirectional baseline, and exported to ONNX.</w:t>
      </w:r>
    </w:p>
    <w:p>
      <w:pPr>
        <w:spacing w:after="100" w:line="268"/>
        <w:jc w:val="both"/>
      </w:pPr>
      <w:r>
        <w:rPr>
          <w:rFonts w:ascii="Arial" w:cs="Arial" w:eastAsia="Arial" w:hAnsi="Arial"/>
          <w:sz w:val="21"/>
          <w:szCs w:val="21"/>
        </w:rPr>
        <w:t xml:space="preserve">Evaluation of the trained model: PR-AUC, ROC-AUC, precision/recall/F1 at a validation-chosen threshold, and a confusion matrix.</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What is still upcoming?</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Phase 3 — system integration: deploying the model as a service that reads Module 2's drift threshold and returns block/approve. Currently specified at the interface level only.</w:t>
      </w:r>
    </w:p>
    <w:p>
      <w:pPr>
        <w:spacing w:after="100" w:line="268"/>
        <w:jc w:val="both"/>
      </w:pPr>
      <w:r>
        <w:rPr>
          <w:rFonts w:ascii="Arial" w:cs="Arial" w:eastAsia="Arial" w:hAnsi="Arial"/>
          <w:sz w:val="21"/>
          <w:szCs w:val="21"/>
        </w:rPr>
        <w:t xml:space="preserve">Phase 4 — SHAP explainability: attributing each blocked transaction to specific features and timesteps for a risk analyst. Designed and scripted, not yet run as a final deliverable.</w:t>
      </w:r>
    </w:p>
    <w:p>
      <w:pPr>
        <w:spacing w:after="100" w:line="268"/>
        <w:jc w:val="both"/>
      </w:pPr>
      <w:r>
        <w:rPr>
          <w:rFonts w:ascii="Arial" w:cs="Arial" w:eastAsia="Arial" w:hAnsi="Arial"/>
          <w:sz w:val="21"/>
          <w:szCs w:val="21"/>
        </w:rPr>
        <w:t xml:space="preserve">Phase 5 — full-scale evaluation and tuning: running on the complete 1.3M-row dataset and hyperparameter tuning.</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present results on a subset and not the full dataset?</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For the interim I trained on a representative 200k-row slice for fast iteration; the pipeline runs identically on the full 1.3M rows. I expect comparable or slightly better numbers at full scale because more data helps the sequence model. The full run is queued on Colab with a GPU.</w:t>
      </w:r>
    </w:p>
    <w:p>
      <w:pPr>
        <w:pStyle w:val="Heading1"/>
      </w:pPr>
      <w:r>
        <w:t xml:space="preserve">3. Literature — what you should be able to cite</w:t>
      </w:r>
    </w:p>
    <w:p>
      <w:pPr>
        <w:spacing w:after="120" w:line="268"/>
        <w:jc w:val="both"/>
      </w:pPr>
      <w:r>
        <w:rPr>
          <w:rFonts w:ascii="Arial" w:cs="Arial" w:eastAsia="Arial" w:hAnsi="Arial"/>
          <w:sz w:val="21"/>
          <w:szCs w:val="21"/>
        </w:rPr>
        <w:t xml:space="preserve">Six peer-reviewed sources anchor the work. Know one sentence about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19"/>
                <w:szCs w:val="19"/>
              </w:rPr>
              <w:t xml:space="preserve">Source</w:t>
            </w:r>
          </w:p>
        </w:tc>
        <w:tc>
          <w:tcPr>
            <w:tcW w:type="dxa" w:w="6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19"/>
                <w:szCs w:val="19"/>
              </w:rPr>
              <w:t xml:space="preserve">What it gives the project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Dal Pozzolo et al. (2018), IEEE TNNLS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Framing of card fraud as imbalanced + drifting; motivates the temporal evaluation and Module 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Jurgovsky et al. (2018), ESWA</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Fraud as sequence classification with an LSTM; the closest precedent, and the source of the unidirectional gap I extend.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Graves &amp; Schmidhuber (2005), Neural Networks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Bidirectional LSTM; the basis for reading the window backward as well as forward.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Chawla et al. (2002), JAIR</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SMOTE oversampling; the classic imbalance method, used as a comparison.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Lin et al. (2017/2020), IEEE TPAMI</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Focal Loss; my chosen way to handle the &lt;1% fraud rate.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Lundberg &amp; Lee (2017), NeurIPS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SHAP; the basis for the Phase 4 explainability.</w:t>
            </w:r>
          </w:p>
        </w:tc>
      </w:tr>
    </w:tbl>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What is the research gap your module addresses?</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Four gaps in the established literature. (1) Sequence fraud models read history forward only; I add a backward read so the latest transaction is judged against the trajectory that led to it. (2) They encode the customer side but not the counterparty; I add a merchant-network branch. (3) They treat channel as a static label; I treat channel switching across the window as a behaviour. (4) Deep models give a bare score; I add SHAP for regulatory-grade explanation.</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How is your work different from Jurgovsky et al.?</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Same starting point — fraud as sequence classification with an LSTM — but three differences: I use a bidirectional encoder rather than unidirectional, I add a parallel merchant-network branch, and I integrate post-hoc explainability. My ablation directly tests whether the bidirectional change helps over the unidirectional baseline that their work used.</w:t>
      </w:r>
    </w:p>
    <w:p>
      <w:pPr>
        <w:pStyle w:val="Heading1"/>
      </w:pPr>
      <w:r>
        <w:t xml:space="preserve">4. How the module works (walk the diagram)</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Walk me through how a transaction is processed.</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One: a transaction arrives. Two: Phase 1 builds the customer's last-five-transaction window (left-padded if they have fewer) and looks up the merchant's recent statistics. Three: the window goes through a bidirectional LSTM that reads it forward (habitual pattern) and backward (is the latest step consistent with what came before?). Four: the merchant features go through a small dense layer. Five: the two are concatenated and passed through a dense head to produce one fraud score between 0 and 1. Six: the score is compared to a threshold to approve or block. A blocked transaction will get a SHAP explanation in Phase 4.</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a sequence and not just the single transaction?</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A 400-dollar purchase is unremarkable alone. The same purchase right after the card was used 600 miles away forty minutes earlier is impossible as a sequence. Single-transaction models structurally cannot see that relationship; a sequence model can.</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bidirectional? What does the backward pass add?</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The forward pass learns what normally follows a given history. The backward pass lets the model check whether the most recent transaction is consistent with the trajectory that produced it — a contradiction that's only visible when you read from the end back to the start. My ablation quantifies this benefit against an otherwise-identical unidirectional model.</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What features go into each step of the sequence?</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Per transaction: log-amount, a digital/physical channel flag, cyclical hour and day-of-week, time since the customer's previous transaction, the location change since the previous transaction, the implied speed (location change divided by time), a channel-switch flag, and the merchant category as a learned embedding. About 11 values per step over 5 steps.</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What is in the merchant (network) branch?</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Five features summarising the merchant's recent behaviour using only past data: how many transactions it saw before now, how many distinct customers, whether this is the first time this customer used this merchant (novelty), its prior volume, and how unusual the current amount is for it.</w:t>
      </w:r>
    </w:p>
    <w:p>
      <w:pPr>
        <w:pStyle w:val="Heading1"/>
      </w:pPr>
      <w:r>
        <w:t xml:space="preserve">5. Methodology — design choices and why</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this dataset (Sparkov), and how do you know it is usable?</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I verified the fraud label is actually learnable before committing: a baseline gradient-boosted model reaches ROC-AUC 0.95 on it. I rejected an earlier candidate dataset precisely because its label was random — a baseline scored ROC-AUC 0.50, meaning no model could ever learn from it. Checking learnability first is part of my methodology.</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Focal Loss instead of oversampling?</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Fraud is under 1% of transactions. Focal Loss reweights the training objective toward the hard, rare positives without duplicating or synthesising rows, so it avoids the distribution distortion that SMOTE can introduce. I keep SMOTE as a comparison condition.</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How do you prevent data leakage?</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Two safeguards. All rolling merchant statistics are strictly backward-looking — computed by shifting before cumulating, so a transaction never sees itself or the future. And the train/test split is the dataset's own temporal split; I never shuffle across the time boundary, because that would let future merchant behaviour leak into training.</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How did you choose the decision threshold?</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On a validation slice taken from the end of the training period, by maximising F1 — never on the test set. This keeps the reported test metrics honest rather than tuned to the test data.</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is location used as 'speed' and not raw distance?</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I checked: in this dataset the raw customer-to-merchant distance is identical for fraud and legitimate transactions (the simulator places merchants randomly), so static distance carries no signal. But distance moved between consecutive transactions divided by the time gap does separate the classes, because fraud activity is compressed in time. So I use implied speed, and I document this openly rather than claiming geographic 'impossibility' the data can't support.</w:t>
      </w:r>
    </w:p>
    <w:p>
      <w:pPr>
        <w:pStyle w:val="Heading1"/>
      </w:pPr>
      <w:r>
        <w:t xml:space="preserve">6. Evaluation — the numbers and how to defend them</w:t>
      </w:r>
    </w:p>
    <w:p>
      <w:pPr>
        <w:spacing w:after="120" w:line="268"/>
        <w:jc w:val="both"/>
      </w:pPr>
      <w:r>
        <w:rPr>
          <w:rFonts w:ascii="Arial" w:cs="Arial" w:eastAsia="Arial" w:hAnsi="Arial"/>
          <w:sz w:val="21"/>
          <w:szCs w:val="21"/>
        </w:rPr>
        <w:t xml:space="preserve">Headline results on the held-out temporal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19"/>
                <w:szCs w:val="19"/>
              </w:rPr>
              <w:t xml:space="preserve">Metric</w:t>
            </w:r>
          </w:p>
        </w:tc>
        <w:tc>
          <w:tcPr>
            <w:tcW w:type="dxa" w:w="1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19"/>
                <w:szCs w:val="19"/>
              </w:rPr>
              <w:t xml:space="preserve">Value</w:t>
            </w:r>
          </w:p>
        </w:tc>
        <w:tc>
          <w:tcPr>
            <w:tcW w:type="dxa" w:w="55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19"/>
                <w:szCs w:val="19"/>
              </w:rPr>
              <w:t xml:space="preserve">What it means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PR-AUC (primary)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0.87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Strong ranking under heavy imbalance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ROC-AUC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0.995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Near-perfect separation overall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Precision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0.89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89% of flagged transactions are truly fraud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Recall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0.79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Catches 79% of all fraud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F1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0.84</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Balanced precision/recall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Caught / missed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677 / 185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True positives vs false negatives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False alarms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82</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Out of ~199,000 legitimate transactions</w:t>
            </w:r>
          </w:p>
        </w:tc>
      </w:tr>
    </w:tbl>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don't you report accuracy?</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Because at a 0.4% fraud rate, a model that predicts 'never fraud' would score 99.6% accuracy while catching zero fraud. Accuracy is misleading here, so I report PR-AUC as the primary metric, which is the standard for imbalanced detection.</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is PR-AUC the headline and not ROC-AUC?</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ROC-AUC can look flatteringly high under extreme imbalance because true negatives dominate. PR-AUC focuses on the positive (fraud) class, so it's the more honest summary of how well I find the rare cases. I report both.</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Did the bidirectional model actually beat the unidirectional one?</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In my larger runs, yes — bidirectional won on ROC, PR-AUC and F1. In the smallest smoke tests the gap was within noise and occasionally flipped. The honest answer is that the full-dataset ablation is the deciding test, and I will report whatever it shows — a clean win strengthens the contribution, and a tie is still a valid finding.</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Is 79% recall good enough for a bank?</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It's a tunable trade-off, not a fixed ceiling. Lowering the threshold raises recall at the cost of precision (more false alarms). In production the operating point would be set by the bank's tolerance for missed fraud versus customer friction. I can show the full precision-recall curve to demonstrate the available trade-offs.</w:t>
      </w:r>
    </w:p>
    <w:p>
      <w:pPr>
        <w:pStyle w:val="Heading1"/>
      </w:pPr>
      <w:r>
        <w:t xml:space="preserve">7. How to enhance the model after Phase 2</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What would you do to improve the model next?</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Several concrete steps. Train on the full 1.3M rows (more sequence data helps). Widen the window from 5 to 10 transactions and compare. Tune hyperparameters (LSTM units, embedding dimension, dropout, focal-loss gamma). Add an attention layer over the LSTM outputs so the model can weight the most suspicious step. Calibrate the output probabilities (Platt scaling or isotonic) so the score is a usable probability. Add cost-sensitive evaluation that weights a missed fraud more than a false alarm, matching real bank economics. And complete the SHAP pipeline so every block is explainable.</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Could a Transformer replace the LSTM?</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Potentially — a small Transformer encoder could replace the bidirectional LSTM and might capture longer dependencies, but with only a 5-to-10 step window the LSTM is well matched and cheaper to train. It's a reasonable comparison to add in future work rather than a necessary change now.</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How would you handle concept drift over time?</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That's exactly what Module 2 provides — a drift-adjusted threshold my module reads at decision time. Beyond that, periodic retraining on recent data and monitoring PR-AUC for degradation are standard practice.</w:t>
      </w:r>
    </w:p>
    <w:p>
      <w:pPr>
        <w:pStyle w:val="Heading1"/>
      </w:pPr>
      <w:r>
        <w:t xml:space="preserve">8. Hard / curveball questions</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Isn't this dataset synthetic? Do your results transfer to real fraud?</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Yes, Sparkov is simulated, so absolute numbers may not transfer directly. That's why I frame my contribution as the relative result — does the bidirectional, merchant-aware design beat simpler baselines on the same data — which is far more robust to the synthetic nature than any single headline number. Validating on a real or second dataset (e.g. IEEE-CIS) is stated future work.</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Your losses are tiny and AUC is very high — is the model overfitting or is the task too easy?</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The task is genuinely separable on this data — even a plain baseline hits ROC 0.95 — so high scores are expected, not a red flag. I guard against overfitting with a temporal split, early stopping on validation loss, and dropout. The real test of my specific design is the ablation, not the absolute AUC.</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What's the weakest part of your current work?</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Honestly, two things: results are on a subset pending the full-scale run, and the bidirectional advantage needs the full-dataset ablation to be stated firmly. Both are addressed in the next phase, and I'd rather name them than have them found.</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Why not just use a simple model like XGBoost if it already scores 0.95?</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XGBoost on single transactions is my baseline, and it's strong on overall ranking. But it cannot model the sequence relationship — the channel-switch, the implied-speed jump between consecutive transactions — which is the specific fraud signature my module targets. The sequence model's value is in that class of fraud, which I demonstrate through the feature design and the ablation.</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How does your module talk to Modules 1 and 2?</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At the interface level: Module 1 clears the input before it reaches me; I read Module 2's current drift threshold at decision time and compare my score against it rather than a hardcoded value. The full runtime integration is Phase 3.</w:t>
      </w:r>
    </w:p>
    <w:p>
      <w:pPr>
        <w:spacing w:after="60" w:before="140" w:line="264"/>
      </w:pPr>
      <w:r>
        <w:rPr>
          <w:rFonts w:ascii="Arial" w:cs="Arial" w:eastAsia="Arial" w:hAnsi="Arial"/>
          <w:b/>
          <w:bCs/>
          <w:color w:val="1F3864"/>
          <w:sz w:val="21"/>
          <w:szCs w:val="21"/>
        </w:rPr>
        <w:t xml:space="preserve">Q. </w:t>
      </w:r>
      <w:r>
        <w:rPr>
          <w:rFonts w:ascii="Arial" w:cs="Arial" w:eastAsia="Arial" w:hAnsi="Arial"/>
          <w:b/>
          <w:bCs/>
          <w:sz w:val="21"/>
          <w:szCs w:val="21"/>
        </w:rPr>
        <w:t xml:space="preserve">What happens for a brand-new customer with no history?</w:t>
      </w:r>
    </w:p>
    <w:p>
      <w:pPr>
        <w:spacing w:after="100" w:line="268"/>
        <w:jc w:val="both"/>
      </w:pPr>
      <w:r>
        <w:rPr>
          <w:rFonts w:ascii="Arial" w:cs="Arial" w:eastAsia="Arial" w:hAnsi="Arial"/>
          <w:b/>
          <w:bCs/>
          <w:color w:val="2E5496"/>
          <w:sz w:val="21"/>
          <w:szCs w:val="21"/>
        </w:rPr>
        <w:t xml:space="preserve">A. </w:t>
      </w:r>
      <w:r>
        <w:rPr>
          <w:rFonts w:ascii="Arial" w:cs="Arial" w:eastAsia="Arial" w:hAnsi="Arial"/>
          <w:sz w:val="21"/>
          <w:szCs w:val="21"/>
        </w:rPr>
        <w:t xml:space="preserve">The window is left-padded with zeros and a masking layer tells the LSTM to ignore the empty steps, so the model still produces a score from whatever history exists — down to the single current transaction. As the customer transacts more, the sequence fills and the prediction sharpens.</w:t>
      </w:r>
    </w:p>
    <w:p>
      <w:pPr>
        <w:pStyle w:val="Heading1"/>
      </w:pPr>
      <w:r>
        <w:t xml:space="preserve">9. One-line answers to have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19"/>
                <w:szCs w:val="19"/>
              </w:rPr>
              <w:t xml:space="preserve">If asked...</w:t>
            </w:r>
          </w:p>
        </w:tc>
        <w:tc>
          <w:tcPr>
            <w:tcW w:type="dxa" w:w="66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19"/>
                <w:szCs w:val="19"/>
              </w:rPr>
              <w:t xml:space="preserve">Say...</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Primary metric?</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PR-AUC, because fraud is under 1%.</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Model type?</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Two-branch: bidirectional LSTM + dense merchant branch.</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Imbalance handling?</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Focal Loss; SMOTE as comparison.</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Window size?</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Last 5 transactions per customer (will test 10).</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Dataset?</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Sparkov; verified learnable (baseline ROC 0.95).</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Leakage control?</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Backward-looking stats + temporal split.</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Threshold choice?</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Max-F1 on a validation slice, not test.</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Main contribution?</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Bidirectional + merchant-aware sequence model.</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Biggest next step?</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Full-dataset run + complete SHAP.</w:t>
            </w:r>
          </w:p>
        </w:tc>
      </w:tr>
    </w:tbl>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Module 3 — Interim Study Guide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7"/>
      <w:szCs w:val="27"/>
    </w:rPr>
  </w:style>
  <w:style w:type="paragraph" w:styleId="Heading2">
    <w:name w:val="Heading 2"/>
    <w:basedOn w:val="Normal"/>
    <w:next w:val="Normal"/>
    <w:qFormat/>
    <w:pPr>
      <w:spacing w:after="100" w:before="18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2026-06-09T19:57:08.521Z</dcterms:created>
  <dcterms:modified xsi:type="dcterms:W3CDTF">2026-06-09T19:57:08.534Z</dcterms:modified>
</cp:coreProperties>
</file>

<file path=docProps/custom.xml><?xml version="1.0" encoding="utf-8"?>
<Properties xmlns="http://schemas.openxmlformats.org/officeDocument/2006/custom-properties" xmlns:vt="http://schemas.openxmlformats.org/officeDocument/2006/docPropsVTypes"/>
</file>