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7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Working on end-to-end pipeline: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Cardo" w:cs="Cardo" w:eastAsia="Cardo" w:hAnsi="Cardo"/>
          <w:sz w:val="34"/>
          <w:szCs w:val="34"/>
          <w:rtl w:val="0"/>
        </w:rPr>
        <w:t xml:space="preserve"> Agent → Server → Redis (schema caching)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Cardo" w:cs="Cardo" w:eastAsia="Cardo" w:hAnsi="Cardo"/>
          <w:sz w:val="34"/>
          <w:szCs w:val="34"/>
          <w:rtl w:val="0"/>
        </w:rPr>
        <w:t xml:space="preserve"> User DB selection → Instant schema load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LLM SQL generation using cached schema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Query execution via Agent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