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Notas de organización antiguas</w:t>
      </w:r>
    </w:p>
    <w:p>
      <w:r>
        <w:rPr>
          <w:b/>
        </w:rPr>
        <w:t xml:space="preserve">Classification: </w:t>
      </w:r>
      <w:r>
        <w:t>Interno</w:t>
      </w:r>
      <w:r>
        <w:rPr>
          <w:b/>
        </w:rPr>
        <w:br/>
        <w:t xml:space="preserve">Revision: </w:t>
      </w:r>
      <w:r>
        <w:t>0.9</w:t>
      </w:r>
      <w:r>
        <w:rPr>
          <w:b/>
        </w:rPr>
        <w:br/>
        <w:t xml:space="preserve">Author: </w:t>
      </w:r>
      <w:r>
        <w:t>Oficina de Gestión</w:t>
      </w:r>
    </w:p>
    <w:p/>
    <w:p>
      <w:pPr>
        <w:pStyle w:val="Heading1"/>
      </w:pPr>
      <w:r>
        <w:t>Notas de preparación de reestructuración</w:t>
      </w:r>
    </w:p>
    <w:p>
      <w:r>
        <w:rPr>
          <w:sz w:val="22"/>
        </w:rPr>
        <w:t>Estas notas fueron preparadas antes de la actualización organizacional. Contienen observaciones preliminares y deben compararse con la estructura final aprobada.</w:t>
      </w:r>
    </w:p>
    <w:p>
      <w:pPr>
        <w:pStyle w:val="Heading1"/>
      </w:pPr>
      <w:r>
        <w:t>Temas principales</w:t>
      </w:r>
    </w:p>
    <w:p>
      <w:pPr>
        <w:pStyle w:val="ListBullet"/>
      </w:pPr>
      <w:r>
        <w:t>Reducir responsabilidades duplicadas.</w:t>
      </w:r>
    </w:p>
    <w:p>
      <w:pPr>
        <w:pStyle w:val="ListBullet"/>
      </w:pPr>
      <w:r>
        <w:t>Mejorar la propiedad de los documentos.</w:t>
      </w:r>
    </w:p>
    <w:p>
      <w:pPr>
        <w:pStyle w:val="ListBullet"/>
      </w:pPr>
      <w:r>
        <w:t>Aclarar las líneas jerárquicas.</w:t>
      </w:r>
    </w:p>
    <w:p>
      <w:pPr>
        <w:pStyle w:val="ListBullet"/>
      </w:pPr>
      <w:r>
        <w:t>Revisar asignaciones históricas.</w:t>
      </w:r>
    </w:p>
    <w:p>
      <w:pPr>
        <w:pStyle w:val="Heading1"/>
      </w:pPr>
      <w:r>
        <w:t>Revisión de operaciones</w:t>
      </w:r>
    </w:p>
    <w:p>
      <w:r>
        <w:rPr>
          <w:sz w:val="22"/>
        </w:rPr>
        <w:t>La función de coordinación de operaciones requiere una consideración especial porque varios proyectos en curso dependen del conocimiento histórico y la documentación previa.</w:t>
      </w:r>
    </w:p>
    <w:p>
      <w:r>
        <w:rPr>
          <w:sz w:val="22"/>
        </w:rPr>
        <w:t>El plan de transición debe garantizar que las referencias del proyecto sigan siendo comprensibles después de los cambios estructurales.</w:t>
      </w:r>
    </w:p>
    <w:p>
      <w:pPr>
        <w:pStyle w:val="Heading1"/>
      </w:pPr>
      <w:r>
        <w:t>Recordatorio final</w:t>
      </w:r>
    </w:p>
    <w:p>
      <w:r>
        <w:rPr>
          <w:sz w:val="22"/>
        </w:rPr>
        <w:t>Deben conservarse los documentos organizativos anteriores. La eliminación de referencias históricas puede afectar futuras auditorías e interpretación de documentos.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