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Notas de grabación de reuniones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Administración</w:t>
      </w:r>
    </w:p>
    <w:p/>
    <w:p>
      <w:pPr>
        <w:pStyle w:val="Heading1"/>
      </w:pPr>
      <w:r>
        <w:t>Revisión de grabación</w:t>
      </w:r>
    </w:p>
    <w:p>
      <w:r>
        <w:rPr>
          <w:sz w:val="22"/>
        </w:rPr>
        <w:t>La calidad de grabación es generalmente aceptable. Hay ruido de fondo durante los primeros diez minutos debido a trabajos de mantenimiento en el pasillo.</w:t>
      </w:r>
    </w:p>
    <w:p>
      <w:r>
        <w:rPr>
          <w:sz w:val="22"/>
        </w:rPr>
        <w:t>De la grabación faltan dos breves fragmentos porque el micrófono estaba silenciado mientras se intercambiaban documentos.</w:t>
      </w:r>
    </w:p>
    <w:p>
      <w:pPr>
        <w:pStyle w:val="Heading1"/>
      </w:pPr>
      <w:r>
        <w:t>Temas confirmados</w:t>
      </w:r>
    </w:p>
    <w:p>
      <w:pPr>
        <w:pStyle w:val="ListBullet"/>
      </w:pPr>
      <w:r>
        <w:t>Revisiones presupuestarias</w:t>
      </w:r>
    </w:p>
    <w:p>
      <w:pPr>
        <w:pStyle w:val="ListBullet"/>
      </w:pPr>
      <w:r>
        <w:t>Inventario de archivo</w:t>
      </w:r>
    </w:p>
    <w:p>
      <w:pPr>
        <w:pStyle w:val="ListBullet"/>
      </w:pPr>
      <w:r>
        <w:t>Calendario de reubicación de oficinas</w:t>
      </w:r>
    </w:p>
    <w:p>
      <w:pPr>
        <w:pStyle w:val="ListBullet"/>
      </w:pPr>
      <w:r>
        <w:t>Dotación de personal del departamento</w:t>
      </w:r>
    </w:p>
    <w:p>
      <w:pPr>
        <w:pStyle w:val="ListBullet"/>
      </w:pPr>
      <w:r>
        <w:t>Política de retención de documentos</w:t>
      </w:r>
    </w:p>
    <w:p>
      <w:r>
        <w:rPr>
          <w:sz w:val="22"/>
        </w:rPr>
        <w:t>Durante la reproducción, un participante hace referencia a una lista de empleados que no coincide con la copia impresa distribuida antes de la reunión. La discusión continúa sin pedir aclaraciones.</w:t>
      </w:r>
    </w:p>
    <w:p>
      <w:r>
        <w:rPr>
          <w:sz w:val="22"/>
        </w:rPr>
        <w:t>Acción: conservar la grabación original junto con el acta escrita.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