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f2x9e5gjnelz" w:id="0"/>
      <w:bookmarkEnd w:id="0"/>
      <w:r w:rsidDel="00000000" w:rsidR="00000000" w:rsidRPr="00000000">
        <w:rPr>
          <w:b w:val="1"/>
          <w:rtl w:val="0"/>
        </w:rPr>
        <w:t xml:space="preserve">Formato de entrega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formato de entrega del obligatorio va a constar de un archivo zip que en su interior contenga únicamente archivos con extensiones “.cpp” y “.h” en caso de C/C++ o “.java” en caso de utilizar Java. También podrán existir directorios para organizar mejor el código y poder reutilizar implementaciones en varios ejercicios.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lskz3e1kzyw9" w:id="1"/>
      <w:bookmarkEnd w:id="1"/>
      <w:r w:rsidDel="00000000" w:rsidR="00000000" w:rsidRPr="00000000">
        <w:rPr>
          <w:b w:val="1"/>
          <w:rtl w:val="0"/>
        </w:rPr>
        <w:t xml:space="preserve">C/C++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  <w:t xml:space="preserve">En el caso de C/C++, la estructura dentro del zip tendrá el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directorioA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directorioB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directorioZ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ejercicio1.cpp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ejercicio2.cpp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… 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└── ejercicioX.cpp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  <w:t xml:space="preserve">Por ejemplo, si tuviéramos 4 ejercicios, un posible zip a entregar podría tener: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funciones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enteros.cpp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tads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├── avl.cpp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avl.h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ejercicio1.cpp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ejercicio2.cpp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ejercicio3.cpp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└── ejercicio4.cpp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Notar que es obligatorio que en la raíz del zip se encuentren los archivos “ejercicioX.cpp”. Los directorios para funciones auxiliares y TADs pueden llamarse de cualquier forma y no son obligatorios. Un ejemplo donde no se utilizan directorios auxiliares podría ser: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enteros.cpp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avl.cpp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avl.h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ejercicio1.cpp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ejercicio2.cpp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ejercicio3.cpp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└── ejercicio4.cpp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amptor5xf6f2" w:id="2"/>
      <w:bookmarkEnd w:id="2"/>
      <w:r w:rsidDel="00000000" w:rsidR="00000000" w:rsidRPr="00000000">
        <w:rPr>
          <w:b w:val="1"/>
          <w:rtl w:val="0"/>
        </w:rPr>
        <w:t xml:space="preserve">Cómo compilar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forma de compilar cada ejercicio es la vista en el curso, pasando por parámetro el archivo raíz “ejercicioX.cpp”, siendo X el número de ejercicio, e indicando en el parámetro “-o” el nombre del archivo compilado:</w:t>
      </w:r>
    </w:p>
    <w:p w:rsidR="00000000" w:rsidDel="00000000" w:rsidP="00000000" w:rsidRDefault="00000000" w:rsidRPr="00000000" w14:paraId="00000024">
      <w:pPr>
        <w:ind w:left="0" w:firstLine="0"/>
        <w:rPr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g++ -o ejercicioX ejercicioX.cpp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o9ny0ers4642" w:id="3"/>
      <w:bookmarkEnd w:id="3"/>
      <w:r w:rsidDel="00000000" w:rsidR="00000000" w:rsidRPr="00000000">
        <w:rPr>
          <w:b w:val="1"/>
          <w:rtl w:val="0"/>
        </w:rPr>
        <w:t xml:space="preserve">Cómo realizar las inclusiones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puede ver un ejemplo del formato y de cómo se realizan las inclusiones en este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 inclusiones parten del archivo “raíz” del programa, es decir, el “ejercicioX.cpp”.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Dependiendo de si los archivos a incluir se encuentran en el mismo directorio o no, es cómo se realizará la inclusión.</w:t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499egemlzvp6" w:id="4"/>
      <w:bookmarkEnd w:id="4"/>
      <w:r w:rsidDel="00000000" w:rsidR="00000000" w:rsidRPr="00000000">
        <w:rPr>
          <w:b w:val="1"/>
          <w:rtl w:val="0"/>
        </w:rPr>
        <w:t xml:space="preserve">Con directorios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Dado el siguiente caso: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funciones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enteros.cpp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tads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├── avl.cpp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avl.h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 definen las inclusiones de la siguiente manera: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#include "tads/avl.h" 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#include "tads/avl.cpp"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#include “funciones/enteros.cpp”</w:t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t6m713m504bk" w:id="5"/>
      <w:bookmarkEnd w:id="5"/>
      <w:r w:rsidDel="00000000" w:rsidR="00000000" w:rsidRPr="00000000">
        <w:rPr>
          <w:b w:val="1"/>
          <w:rtl w:val="0"/>
        </w:rPr>
        <w:t xml:space="preserve">Sin directorios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Dado el caso en el que no se usan directorios: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enteros.cpp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avl.cpp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avl.h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definen las inclusiones de la siguiente manera: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#include "avl.h" 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#include "avl.cpp"</w:t>
      </w:r>
    </w:p>
    <w:p w:rsidR="00000000" w:rsidDel="00000000" w:rsidP="00000000" w:rsidRDefault="00000000" w:rsidRPr="00000000" w14:paraId="00000040">
      <w:pPr>
        <w:rPr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#include "enteros.cpp"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b w:val="1"/>
        </w:rPr>
      </w:pPr>
      <w:bookmarkStart w:colFirst="0" w:colLast="0" w:name="_xulv1gpbz35c" w:id="6"/>
      <w:bookmarkEnd w:id="6"/>
      <w:r w:rsidDel="00000000" w:rsidR="00000000" w:rsidRPr="00000000">
        <w:rPr>
          <w:b w:val="1"/>
          <w:rtl w:val="0"/>
        </w:rPr>
        <w:t xml:space="preserve">Aclaración sobre TADs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Notar que en el archivo raíz se incluye tanto la especificación del TAD (avl.h) como la implementación (avl.cpp). Lo correcto es incluir únicamente la especificación y asignar la implementación al momento de compilar. Esto resulta en problemas para realizar debugging y en que la compilación sea más compleja de estandarizar, por lo que se decide que es aceptable realizar la inclusión de la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1"/>
        </w:rPr>
      </w:pPr>
      <w:bookmarkStart w:colFirst="0" w:colLast="0" w:name="_e7g0jkacwqls" w:id="7"/>
      <w:bookmarkEnd w:id="7"/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  <w:t xml:space="preserve">En el caso de Java, la estructura dentro del zip tendrá el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directorioA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directorioB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directorioZ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Ejercicio1.java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Ejercicio2.java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…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└── EjercicioX.java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  <w:t xml:space="preserve">Por ejemplo, si tuviéramos 4 ejercicios, un posible zip a entregar podría tener: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funciones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Enteros.java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tads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AVL.java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Ejercicio1.java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Ejercicio2.java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Ejercicio3.java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└── Ejercicio4.java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  <w:t xml:space="preserve">Notar que es obligatorio que en la raíz del zip se encuentren los archivos “EjercicioX.java”. Los directorios para funciones auxiliares y TADs pueden llamarse de cualquier forma y no son obligatorios. Un ejemplo donde no se utilizan directorios auxiliares podría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Enteros.java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AVL.java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Ejercicio1.java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Ejercicio2.java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Ejercicio3.java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└── Ejercicio4.java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d7hql193tfzh" w:id="8"/>
      <w:bookmarkEnd w:id="8"/>
      <w:r w:rsidDel="00000000" w:rsidR="00000000" w:rsidRPr="00000000">
        <w:rPr>
          <w:b w:val="1"/>
          <w:rtl w:val="0"/>
        </w:rPr>
        <w:t xml:space="preserve">Cómo compilar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 forma de compilar cada ejercicio es la vista en el curso, pasando por parámetro el archivo raíz “EjercicioX.java”, siendo X el número de ejercicio:</w:t>
      </w:r>
    </w:p>
    <w:p w:rsidR="00000000" w:rsidDel="00000000" w:rsidP="00000000" w:rsidRDefault="00000000" w:rsidRPr="00000000" w14:paraId="00000062">
      <w:pPr>
        <w:rPr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javac EjercicioX.java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b w:val="1"/>
        </w:rPr>
      </w:pPr>
      <w:bookmarkStart w:colFirst="0" w:colLast="0" w:name="_cb3prqusd0kg" w:id="9"/>
      <w:bookmarkEnd w:id="9"/>
      <w:r w:rsidDel="00000000" w:rsidR="00000000" w:rsidRPr="00000000">
        <w:rPr>
          <w:b w:val="1"/>
          <w:rtl w:val="0"/>
        </w:rPr>
        <w:t xml:space="preserve">Cómo realizar las importaciones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 puede ver un ejemplo del formato y de cómo se realizan las importaciones en este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Las importaciones parten del archivo “raíz” del programa, es decir, el “EjercicioX.java”.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Dependiendo de si los archivos a incluir se encuentran en el mismo directorio o no, es cómo se realizan.</w:t>
      </w:r>
    </w:p>
    <w:p w:rsidR="00000000" w:rsidDel="00000000" w:rsidP="00000000" w:rsidRDefault="00000000" w:rsidRPr="00000000" w14:paraId="00000068">
      <w:pPr>
        <w:pStyle w:val="Heading3"/>
        <w:rPr>
          <w:b w:val="1"/>
        </w:rPr>
      </w:pPr>
      <w:bookmarkStart w:colFirst="0" w:colLast="0" w:name="_cb27qlgvr220" w:id="10"/>
      <w:bookmarkEnd w:id="10"/>
      <w:r w:rsidDel="00000000" w:rsidR="00000000" w:rsidRPr="00000000">
        <w:rPr>
          <w:b w:val="1"/>
          <w:rtl w:val="0"/>
        </w:rPr>
        <w:t xml:space="preserve">Con directorios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Dado el siguiente caso: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funciones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Enteros.java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tads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│   └── AVL.java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 definen las importaciones de la siguiente manera: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import tads.AVL;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import funciones.Enteros;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Para que esto funcione es importante definir los paquetes java de las clases que se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encuentran en esos directorios.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Dado el ejemplo anterior, la clase Enteros.java debe definir su paquete al comienzo del archivo:</w:t>
      </w:r>
    </w:p>
    <w:p w:rsidR="00000000" w:rsidDel="00000000" w:rsidP="00000000" w:rsidRDefault="00000000" w:rsidRPr="00000000" w14:paraId="00000077">
      <w:pPr>
        <w:rPr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package funciones;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 la misma forma lo debe hacer la clase AVL.java: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package tads;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Las clases de la raíz, “EjercicioX.java” por ejemplo, no deben tener definido un paquete.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</w:rPr>
      </w:pPr>
      <w:bookmarkStart w:colFirst="0" w:colLast="0" w:name="_sgldp8x9nukh" w:id="11"/>
      <w:bookmarkEnd w:id="11"/>
      <w:r w:rsidDel="00000000" w:rsidR="00000000" w:rsidRPr="00000000">
        <w:rPr>
          <w:b w:val="1"/>
          <w:rtl w:val="0"/>
        </w:rPr>
        <w:t xml:space="preserve">Sin directorios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Dado el caso en el que no se usan directorios: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Enteros.java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├── AVL.java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 es necesario definir ninguna importación. Es importante que ninguna clase del directorio raíz tenga definido un paquete al comienzo de la misma.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XUErKjrHYI4Gv73FJNck9VJunn0qdTA/view?usp=sharing" TargetMode="External"/><Relationship Id="rId7" Type="http://schemas.openxmlformats.org/officeDocument/2006/relationships/hyperlink" Target="https://drive.google.com/file/d/1_Ou-EKbXVHGQ84hDz1ffr0xo4hb3zMg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