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Nick Nussen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AI Fact Pattern: Module 15</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120" w:line="288" w:lineRule="auto"/>
        <w:rPr>
          <w:rFonts w:ascii="Times New Roman" w:cs="Times New Roman" w:eastAsia="Times New Roman" w:hAnsi="Times New Roman"/>
          <w:b w:val="1"/>
          <w:bCs w:val="1"/>
          <w:sz w:val="28"/>
          <w:szCs w:val="28"/>
        </w:rPr>
      </w:pPr>
      <w:bookmarkStart w:colFirst="0" w:colLast="0" w:name="_berle6jdllc8" w:id="0"/>
      <w:bookmarkEnd w:id="0"/>
      <w:r w:rsidDel="00000000" w:rsidR="00000000" w:rsidRPr="00000000">
        <w:rPr>
          <w:rFonts w:ascii="Times New Roman" w:cs="Times New Roman" w:eastAsia="Times New Roman" w:hAnsi="Times New Roman"/>
          <w:b w:val="1"/>
          <w:bCs w:val="1"/>
          <w:sz w:val="28"/>
          <w:szCs w:val="28"/>
          <w:rtl w:val="0"/>
        </w:rPr>
        <w:t xml:space="preserve">Meridian Harvest, Inc.: A Derivative Detour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Meridian Harvest, Inc. (“Meridian”) is a publicly traded agricultural technology and cold-logistics company incorporated under the Model Business Corporation Act (MBCA). Meridian has 52 million outstanding common shares and three divisions: Analytics (software subscriptions), ColdLink (refrigerated logistics), and FarmDirect (marketplace services). Meridian’s seven-member board in early 2022 consists of: Chair/CEO Daniel “Dan” Rusk; CFO/director Priya Mehta; and independent directors Alan Boyd, Susan Li (CPA), Michael Diaz (venture capitalist), Dr. Lila Noor (professor), and Karen Wells (logistics entrepreneur). Li chairs the audit committee.</w:t>
      </w:r>
    </w:p>
    <w:p w:rsidR="00000000" w:rsidDel="00000000" w:rsidP="00000000" w:rsidRDefault="00000000" w:rsidRPr="00000000" w14:paraId="0000000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March 2022, Rusk proposes “Project Aurora,” an expansion of ColdLink through acquisition of FrostLane LLC, a regional cold-storage operator. FrostLane’s managing member, Thomas “Tom” Vail, is Rusk’s longtime friend. Vail proposes a sale for $85 million: $45 million cash and $40 million in newly issued Meridian shares priced at the 10-day average.</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 April 6, 2022 board meeting, Rusk presents optimistic synergy projections and emphasizes urgency: “Vail has another bidder and needs a decision this week.” Mehta’s deck shows FrostLane’s revenue growth but notes negative free cash flow and flags two pending OSHA citations plus an unresolved environmental inquiry involving refrigerants at FrostLane’s Tulsa facility. The audit committee reports no “red flags” beyond recommending a Phase II environmental assessment—possibly after closing if time does not permit.</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third-party fairness opinion is obtained. Li asks to delay until environmental diligence is complete; Rusk resists. Diaz states he will “recuse to avoid even the appearance of bias” and leaves the room; the remaining six directors vote 5–1 to approve (Li dissenting). The board authorizes Rusk to sign definitive agreements and issue shares.</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8, 2022, Rusk signs the purchase agreement. Seller indemnity for the environmental inquiry is capped at $250,000 with a six-month survival period. Meridian issues 2.3 million shares to FrostLane’s members (about 4% dilution).</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11, 2022, Meridian files an 8-K attaching a press release stating FrostLane “has passed comprehensive environmental vetting” and that profitability is expected within two quarters. The release is drafted by outside PR firm Huxley StratComm from bullet points provided by Rusk. No director other than Rusk and Mehta reviews the final copy. In fact, the only “environmental” work done pre-closing is a short “summary impressions” email from GreenCheck Advisors recommending a full site assessment and disclaiming conclusions. Mehta saw GreenCheck’s email but assumed the “passed” language reflected internal checklists.</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September 2022, FrostLane’s Tulsa facility suffers an ammonia leak, triggering regulatory scrutiny. Meridian announces a remediation reserve and lost revenue; the stock drops sharply. Plaintiffs’ firms begin soliciting investors for a direct securities/disclosure case.</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2022, Rusk signs a one-year “Strategic Advisor” consulting agreement with Vail for $600,000 (monthly retainer) to “facilitate integration.” The board never votes on the contract. Rusk tells Mehta it is “operational” and within CEO authority. Meridian’s bylaws give the CEO general supervision “subject to the control of the Board” and allow execution of contracts “as authorized by the Board or within budgets approved by the Board.” The board had approved a $3 million “integration budget” line item but did not specify payments to sellers.</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Meridian’s IT department creates a Meridian email account for Vail at Rusk’s request. Vail introduces himself publicly as “Senior Advisor to Meridian” and negotiates a refrigerated freight contract with Prairie Ridge Grocers, a key customer, using Meridian email and conference materials. The contract includes unusually favorable volume discounts. Meridian’s later-hired general counsel questions whether Vail had authority to bind Meridian and whether the consulting arrangement should have been board-approved. Prairie Ridge insists it reasonably believed Vail had authority, citing Meridian’s materials and Vail’s company email.</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2022, Meridian announces a stock-for-stock merger with EdenPath Holdings, an ag-tech startup. Meridian issues 8 million new shares (about 13% post-closing). Diaz’s venture fund owns 19% of EdenPath. Diaz discloses the conflict and abstains; the board approves without forming a special committee and without a fairness opinion, relying on an internal valuation memo prepared by Meridian’s corporate development director, who previously worked at Diaz’s fund. The merger closes in January 2023, expanding the board to nine with two EdenPath designees: Dr. Henry Ames and Sofia Calder.</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20, 2023, three shareholders—siblings Alex and Morgan Shaw and Mid-Plains Municipal Retirement System (MPMRS)—send a demand letter asking the board to investigate and pursue claims arising from: (1) the FrostLane acquisition process; (2) the Vail consulting agreement; (3) the April 11 press release; and (4) the EdenPath merger. The Shaws bought Meridian shares on April 12, 2022 (the day after the press release) and again in August 2022. MPMRS has held shares continuously since 2019.</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 forms a “Demand Review Committee” of Noor (chair), Ames, and Calder (excluding Rusk and Mehta) and authorizes it to retain independent counsel and experts. The committee hires Roth &amp; Brent LLP (which had represented Diaz’s fund in unrelated matters years earlier) and consultants to review diligence and communications. The committee interviews employees and obtains drafts showing the “passed comprehensive environmental vetting” language was added after a short call with Rusk.</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committee finishes, the Shaws file a federal class action alleging misleading disclosures (direct claim). Shortly thereafter, the Shaws and MPMRS file a shareholder derivative suit in state court on Meridian’s behalf alleging fiduciary breaches, waste, and unjust enrichment against Rusk, Mehta, Diaz, and other directors. The complaint pleads demand futility, alleging a majority of the board is interested or lacks independence (Rusk/Mehta exposure; Diaz’s EdenPath ties; Ames/Calder as EdenPath designees). The Shaws also claim standing via “continuing wrongs” extending beyond their April 12 purchase.</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issues a report recommending the corporation not pursue litigation and recommending dismissal of the derivative action. It characterizes the acquisition process as “imperfect” but within business judgment; calls the Vail consulting deal “ill-advised” but not waste; and concludes Diaz’s disclosure/abstention sufficiently addressed EdenPath conflicts. The board adopts the recommendation (Li dissenting; Diaz abstaining).</w:t>
      </w:r>
    </w:p>
    <w:p w:rsidR="00000000" w:rsidDel="00000000" w:rsidP="00000000" w:rsidRDefault="00000000" w:rsidRPr="00000000" w14:paraId="0000001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Meridian moves to dismiss under MBCA (2016) § 7.44, arguing independent directors determined in good faith after reasonable inquiry that continuing the derivative suit is not in Meridian’s best interests. Plaintiffs oppose, challenging independence (Noor’s alleged donor connection to Diaz’s circle; Ames/Calder as designees), counsel conflicts (Roth &amp; Brent’s prior work for Diaz’s fund), and the reasonableness of the inquiry. Plaintiffs seek limited discovery into independence and process.</w:t>
      </w:r>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mid-2023, Meridian disputes the Prairie Ridge contract terms and asserts Vail lacked authority. Prairie Ridge produces an email from Rusk to its COO stating: “Tom will speak for Meridian on all integration and customer transition matters.” Meridian’s general counsel advises honoring the contract through its term while reserving rights; the board discusses apparent authority and ratification but takes no formal vote. Rusk privately urges Mehta to “quietly ratify” to avoid losing Prairie Ridge.</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June 2023, Meridian conducts a follow-on offering at a depressed price to fund mandated facility upgrades. Diaz’s fund participates, increasing its stake. Retail shareholders threaten a direct claim alleging unfair dilution and impaired voting power, and inadequate disclosure of governance problems. Meridian argues any dilution harm is derivative because it flows through the corporation and affects stockholders proportionally.</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schedules a hearing on Meridian’s § 7.44 motion, including whether plaintiffs are entitled to limited discovery and whether the committee’s independence, good faith, and inquiry satisfy the statute.</w:t>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STOP HERE</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 Pattern Notes:</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Prompts to Westlaw Co-Counsel (10/03/26): </w:t>
      </w:r>
      <w:r w:rsidDel="00000000" w:rsidR="00000000" w:rsidRPr="00000000">
        <w:rPr>
          <w:rFonts w:ascii="Times New Roman" w:cs="Times New Roman" w:eastAsia="Times New Roman" w:hAnsi="Times New Roman"/>
          <w:sz w:val="24"/>
          <w:szCs w:val="24"/>
          <w:rtl w:val="0"/>
        </w:rPr>
        <w:t xml:space="preserve">Act as a law professor. Create a Business Associations essay fact pattern of approximately four to five pages that features, at its center, a derivative lawsuit, and which tests students' knowledge of (1) fiduciary duties owed by corporate directors to their corporations, and when and how those duties are breached; (2) how to distinguish a derivative suit from a direct suit; (3) the procedural requirements for derivative suits, including (a) contemporaneous ownership and (b) demand on the board; and (4) motions to dismiss derivative suits and the grounds for dismissal under MBCA(2016) Sec. 7.44. The fact pattern should also feature a couple of issues related to agency, specifically whether and when corporate decision-makers function as agents of the corporation. At the end of the fact pattern, provide a list of all the specific issues assessed in the fact pattern, followed by a one-paragraph summary of those issues.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AI generated a 10-page fact pattern, I entered the prompt below.]</w:t>
      </w:r>
    </w:p>
    <w:p w:rsidR="00000000" w:rsidDel="00000000" w:rsidP="00000000" w:rsidRDefault="00000000" w:rsidRPr="00000000" w14:paraId="0000002A">
      <w:pPr>
        <w:rPr>
          <w:rFonts w:ascii="Times New Roman" w:cs="Times New Roman" w:eastAsia="Times New Roman" w:hAnsi="Times New Roman"/>
          <w:sz w:val="24"/>
          <w:szCs w:val="24"/>
          <w:shd w:fill="fcfcfc" w:val="clea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shd w:fill="fcfcfc" w:val="clear"/>
        </w:rPr>
      </w:pPr>
      <w:r w:rsidDel="00000000" w:rsidR="00000000" w:rsidRPr="00000000">
        <w:rPr>
          <w:rFonts w:ascii="Times New Roman" w:cs="Times New Roman" w:eastAsia="Times New Roman" w:hAnsi="Times New Roman"/>
          <w:sz w:val="24"/>
          <w:szCs w:val="24"/>
          <w:shd w:fill="fcfcfc" w:val="clear"/>
          <w:rtl w:val="0"/>
        </w:rPr>
        <w:t xml:space="preserve">This fact pattern is good, but it is too long for my purposes. Please reduce its length by 50%, while retaining the same issues. Again, at the end of the fact pattern, please list the issues, and then provide a one-paragraph summary of those issues.</w:t>
      </w:r>
    </w:p>
    <w:p w:rsidR="00000000" w:rsidDel="00000000" w:rsidP="00000000" w:rsidRDefault="00000000" w:rsidRPr="00000000" w14:paraId="0000002C">
      <w:pPr>
        <w:rPr>
          <w:rFonts w:ascii="Times New Roman" w:cs="Times New Roman" w:eastAsia="Times New Roman" w:hAnsi="Times New Roman"/>
          <w:shd w:fill="fcfcfc" w:val="clear"/>
        </w:rPr>
      </w:pPr>
      <w:r w:rsidDel="00000000" w:rsidR="00000000" w:rsidRPr="00000000">
        <w:rPr>
          <w:rtl w:val="0"/>
        </w:rPr>
      </w:r>
    </w:p>
    <w:p w:rsidR="00000000" w:rsidDel="00000000" w:rsidP="00000000" w:rsidRDefault="00000000" w:rsidRPr="00000000" w14:paraId="0000002D">
      <w:pPr>
        <w:pStyle w:val="Heading2"/>
        <w:keepNext w:val="0"/>
        <w:keepLines w:val="0"/>
        <w:shd w:fill="fcfcfc" w:val="clear"/>
        <w:spacing w:after="60" w:before="180" w:line="288" w:lineRule="auto"/>
        <w:rPr>
          <w:rFonts w:ascii="Times New Roman" w:cs="Times New Roman" w:eastAsia="Times New Roman" w:hAnsi="Times New Roman"/>
          <w:b w:val="1"/>
          <w:bCs w:val="1"/>
          <w:sz w:val="28"/>
          <w:szCs w:val="28"/>
        </w:rPr>
      </w:pPr>
      <w:bookmarkStart w:colFirst="0" w:colLast="0" w:name="_n1p0po2tlqff" w:id="1"/>
      <w:bookmarkEnd w:id="1"/>
      <w:r w:rsidDel="00000000" w:rsidR="00000000" w:rsidRPr="00000000">
        <w:rPr>
          <w:rFonts w:ascii="Times New Roman" w:cs="Times New Roman" w:eastAsia="Times New Roman" w:hAnsi="Times New Roman"/>
          <w:b w:val="1"/>
          <w:bCs w:val="1"/>
          <w:sz w:val="28"/>
          <w:szCs w:val="28"/>
          <w:rtl w:val="0"/>
        </w:rPr>
        <w:t xml:space="preserve">Issues Assessed in Fact Pattern: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3"/>
        <w:keepNext w:val="0"/>
        <w:keepLines w:val="0"/>
        <w:numPr>
          <w:ilvl w:val="0"/>
          <w:numId w:val="5"/>
        </w:numPr>
        <w:shd w:fill="fcfcfc" w:val="clear"/>
        <w:spacing w:after="0" w:afterAutospacing="0" w:before="60" w:line="288" w:lineRule="auto"/>
        <w:ind w:left="720" w:hanging="360"/>
        <w:rPr>
          <w:rFonts w:ascii="Times New Roman" w:cs="Times New Roman" w:eastAsia="Times New Roman" w:hAnsi="Times New Roman"/>
          <w:b w:val="1"/>
          <w:bCs w:val="1"/>
          <w:color w:val="000000"/>
          <w:sz w:val="24"/>
          <w:szCs w:val="24"/>
        </w:rPr>
      </w:pPr>
      <w:bookmarkStart w:colFirst="0" w:colLast="0" w:name="_rbuwj4jlxmp5" w:id="2"/>
      <w:bookmarkEnd w:id="2"/>
      <w:r w:rsidDel="00000000" w:rsidR="00000000" w:rsidRPr="00000000">
        <w:rPr>
          <w:rFonts w:ascii="Times New Roman" w:cs="Times New Roman" w:eastAsia="Times New Roman" w:hAnsi="Times New Roman"/>
          <w:b w:val="1"/>
          <w:bCs w:val="1"/>
          <w:color w:val="000000"/>
          <w:sz w:val="24"/>
          <w:szCs w:val="24"/>
          <w:rtl w:val="0"/>
        </w:rPr>
        <w:t xml:space="preserve">Fiduciary Duties / Breach</w:t>
      </w:r>
    </w:p>
    <w:p w:rsidR="00000000" w:rsidDel="00000000" w:rsidP="00000000" w:rsidRDefault="00000000" w:rsidRPr="00000000" w14:paraId="00000030">
      <w:pPr>
        <w:numPr>
          <w:ilvl w:val="0"/>
          <w:numId w:val="3"/>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Duty of care</w:t>
      </w:r>
      <w:r w:rsidDel="00000000" w:rsidR="00000000" w:rsidRPr="00000000">
        <w:rPr>
          <w:rFonts w:ascii="Times New Roman" w:cs="Times New Roman" w:eastAsia="Times New Roman" w:hAnsi="Times New Roman"/>
          <w:sz w:val="24"/>
          <w:szCs w:val="24"/>
          <w:shd w:fill="fcfcfc" w:val="clear"/>
          <w:rtl w:val="0"/>
        </w:rPr>
        <w:t xml:space="preserve">: adequacy of diligence and decision-making process for FrostLane; reliance on management; failure to obtain third-party diligence/fairness opinion.</w:t>
      </w:r>
    </w:p>
    <w:p w:rsidR="00000000" w:rsidDel="00000000" w:rsidP="00000000" w:rsidRDefault="00000000" w:rsidRPr="00000000" w14:paraId="00000031">
      <w:pPr>
        <w:numPr>
          <w:ilvl w:val="0"/>
          <w:numId w:val="3"/>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Duty of loyalty/conflicts</w:t>
      </w:r>
      <w:r w:rsidDel="00000000" w:rsidR="00000000" w:rsidRPr="00000000">
        <w:rPr>
          <w:rFonts w:ascii="Times New Roman" w:cs="Times New Roman" w:eastAsia="Times New Roman" w:hAnsi="Times New Roman"/>
          <w:sz w:val="24"/>
          <w:szCs w:val="24"/>
          <w:shd w:fill="fcfcfc" w:val="clear"/>
          <w:rtl w:val="0"/>
        </w:rPr>
        <w:t xml:space="preserve">: Rusk’s relationship with Vail; Diaz’s fund’s EdenPath stake; use of former Diaz-fund employee for valuation; whether abstention/disclosure suffices.</w:t>
      </w:r>
    </w:p>
    <w:p w:rsidR="00000000" w:rsidDel="00000000" w:rsidP="00000000" w:rsidRDefault="00000000" w:rsidRPr="00000000" w14:paraId="00000032">
      <w:pPr>
        <w:numPr>
          <w:ilvl w:val="0"/>
          <w:numId w:val="3"/>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Good faith / oversight</w:t>
      </w:r>
      <w:r w:rsidDel="00000000" w:rsidR="00000000" w:rsidRPr="00000000">
        <w:rPr>
          <w:rFonts w:ascii="Times New Roman" w:cs="Times New Roman" w:eastAsia="Times New Roman" w:hAnsi="Times New Roman"/>
          <w:sz w:val="24"/>
          <w:szCs w:val="24"/>
          <w:shd w:fill="fcfcfc" w:val="clear"/>
          <w:rtl w:val="0"/>
        </w:rPr>
        <w:t xml:space="preserve">: board-level monitoring of compliance and reporting systems; response to known regulatory/environmental risks.</w:t>
      </w:r>
    </w:p>
    <w:p w:rsidR="00000000" w:rsidDel="00000000" w:rsidP="00000000" w:rsidRDefault="00000000" w:rsidRPr="00000000" w14:paraId="00000033">
      <w:pPr>
        <w:numPr>
          <w:ilvl w:val="0"/>
          <w:numId w:val="3"/>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Disclosure-related fiduciary issues</w:t>
      </w:r>
      <w:r w:rsidDel="00000000" w:rsidR="00000000" w:rsidRPr="00000000">
        <w:rPr>
          <w:rFonts w:ascii="Times New Roman" w:cs="Times New Roman" w:eastAsia="Times New Roman" w:hAnsi="Times New Roman"/>
          <w:sz w:val="24"/>
          <w:szCs w:val="24"/>
          <w:shd w:fill="fcfcfc" w:val="clear"/>
          <w:rtl w:val="0"/>
        </w:rPr>
        <w:t xml:space="preserve">: responsibility for materially misleading corporate statements (press release/8-K) and internal controls around public disclosures.</w:t>
      </w:r>
    </w:p>
    <w:p w:rsidR="00000000" w:rsidDel="00000000" w:rsidP="00000000" w:rsidRDefault="00000000" w:rsidRPr="00000000" w14:paraId="00000034">
      <w:pPr>
        <w:numPr>
          <w:ilvl w:val="0"/>
          <w:numId w:val="3"/>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Corporate waste</w:t>
      </w:r>
      <w:r w:rsidDel="00000000" w:rsidR="00000000" w:rsidRPr="00000000">
        <w:rPr>
          <w:rFonts w:ascii="Times New Roman" w:cs="Times New Roman" w:eastAsia="Times New Roman" w:hAnsi="Times New Roman"/>
          <w:sz w:val="24"/>
          <w:szCs w:val="24"/>
          <w:shd w:fill="fcfcfc" w:val="clear"/>
          <w:rtl w:val="0"/>
        </w:rPr>
        <w:t xml:space="preserve">: $600,000 consulting agreement; potentially one-sided terms; entrenchment framing around equity issuance.</w:t>
      </w:r>
    </w:p>
    <w:p w:rsidR="00000000" w:rsidDel="00000000" w:rsidP="00000000" w:rsidRDefault="00000000" w:rsidRPr="00000000" w14:paraId="00000035">
      <w:pPr>
        <w:pStyle w:val="Heading3"/>
        <w:keepNext w:val="0"/>
        <w:keepLines w:val="0"/>
        <w:numPr>
          <w:ilvl w:val="0"/>
          <w:numId w:val="5"/>
        </w:numPr>
        <w:shd w:fill="fcfcfc" w:val="clear"/>
        <w:spacing w:after="0" w:afterAutospacing="0" w:before="0" w:beforeAutospacing="0" w:line="288" w:lineRule="auto"/>
        <w:ind w:left="720" w:hanging="360"/>
        <w:rPr>
          <w:rFonts w:ascii="Times New Roman" w:cs="Times New Roman" w:eastAsia="Times New Roman" w:hAnsi="Times New Roman"/>
          <w:b w:val="1"/>
          <w:bCs w:val="1"/>
          <w:color w:val="000000"/>
          <w:sz w:val="24"/>
          <w:szCs w:val="24"/>
          <w:shd w:fill="fcfcfc" w:val="clear"/>
        </w:rPr>
      </w:pPr>
      <w:bookmarkStart w:colFirst="0" w:colLast="0" w:name="_38uwrmsvrwv5" w:id="3"/>
      <w:bookmarkEnd w:id="3"/>
      <w:r w:rsidDel="00000000" w:rsidR="00000000" w:rsidRPr="00000000">
        <w:rPr>
          <w:rFonts w:ascii="Times New Roman" w:cs="Times New Roman" w:eastAsia="Times New Roman" w:hAnsi="Times New Roman"/>
          <w:b w:val="1"/>
          <w:bCs w:val="1"/>
          <w:color w:val="000000"/>
          <w:sz w:val="24"/>
          <w:szCs w:val="24"/>
          <w:shd w:fill="fcfcfc" w:val="clear"/>
          <w:rtl w:val="0"/>
        </w:rPr>
        <w:t xml:space="preserve">Direct vs. Derivative</w:t>
      </w:r>
    </w:p>
    <w:p w:rsidR="00000000" w:rsidDel="00000000" w:rsidP="00000000" w:rsidRDefault="00000000" w:rsidRPr="00000000" w14:paraId="00000036">
      <w:pPr>
        <w:numPr>
          <w:ilvl w:val="0"/>
          <w:numId w:val="1"/>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rFonts w:ascii="Times New Roman" w:cs="Times New Roman" w:eastAsia="Times New Roman" w:hAnsi="Times New Roman"/>
          <w:color w:val="000000"/>
          <w:shd w:fill="fcfcfc" w:val="clear"/>
        </w:rPr>
      </w:pPr>
      <w:r w:rsidDel="00000000" w:rsidR="00000000" w:rsidRPr="00000000">
        <w:rPr>
          <w:rFonts w:ascii="Times New Roman" w:cs="Times New Roman" w:eastAsia="Times New Roman" w:hAnsi="Times New Roman"/>
          <w:sz w:val="24"/>
          <w:szCs w:val="24"/>
          <w:shd w:fill="fcfcfc" w:val="clear"/>
          <w:rtl w:val="0"/>
        </w:rPr>
        <w:t xml:space="preserve">Classification of claims arising from: acquisition overpayment/dilution; corporate misstatements (direct securities claim); consulting payments (derivative); conflicted merger (derivative); follow-on offering dilution/voting power (direct vs derivative characterization).</w:t>
      </w:r>
    </w:p>
    <w:p w:rsidR="00000000" w:rsidDel="00000000" w:rsidP="00000000" w:rsidRDefault="00000000" w:rsidRPr="00000000" w14:paraId="00000037">
      <w:pPr>
        <w:pStyle w:val="Heading3"/>
        <w:keepNext w:val="0"/>
        <w:keepLines w:val="0"/>
        <w:numPr>
          <w:ilvl w:val="0"/>
          <w:numId w:val="5"/>
        </w:numPr>
        <w:shd w:fill="fcfcfc" w:val="clear"/>
        <w:spacing w:after="0" w:afterAutospacing="0" w:before="0" w:beforeAutospacing="0" w:line="288" w:lineRule="auto"/>
        <w:ind w:left="720" w:hanging="360"/>
        <w:rPr>
          <w:rFonts w:ascii="Times New Roman" w:cs="Times New Roman" w:eastAsia="Times New Roman" w:hAnsi="Times New Roman"/>
          <w:b w:val="1"/>
          <w:bCs w:val="1"/>
          <w:color w:val="000000"/>
          <w:sz w:val="24"/>
          <w:szCs w:val="24"/>
          <w:shd w:fill="fcfcfc" w:val="clear"/>
        </w:rPr>
      </w:pPr>
      <w:bookmarkStart w:colFirst="0" w:colLast="0" w:name="_sck0kack7ujt" w:id="4"/>
      <w:bookmarkEnd w:id="4"/>
      <w:r w:rsidDel="00000000" w:rsidR="00000000" w:rsidRPr="00000000">
        <w:rPr>
          <w:rFonts w:ascii="Times New Roman" w:cs="Times New Roman" w:eastAsia="Times New Roman" w:hAnsi="Times New Roman"/>
          <w:b w:val="1"/>
          <w:bCs w:val="1"/>
          <w:color w:val="000000"/>
          <w:sz w:val="24"/>
          <w:szCs w:val="24"/>
          <w:shd w:fill="fcfcfc" w:val="clear"/>
          <w:rtl w:val="0"/>
        </w:rPr>
        <w:t xml:space="preserve">Derivative Procedure</w:t>
      </w:r>
    </w:p>
    <w:p w:rsidR="00000000" w:rsidDel="00000000" w:rsidP="00000000" w:rsidRDefault="00000000" w:rsidRPr="00000000" w14:paraId="00000038">
      <w:pPr>
        <w:numPr>
          <w:ilvl w:val="0"/>
          <w:numId w:val="6"/>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Contemporaneous ownership</w:t>
      </w:r>
      <w:r w:rsidDel="00000000" w:rsidR="00000000" w:rsidRPr="00000000">
        <w:rPr>
          <w:rFonts w:ascii="Times New Roman" w:cs="Times New Roman" w:eastAsia="Times New Roman" w:hAnsi="Times New Roman"/>
          <w:sz w:val="24"/>
          <w:szCs w:val="24"/>
          <w:shd w:fill="fcfcfc" w:val="clear"/>
          <w:rtl w:val="0"/>
        </w:rPr>
        <w:t xml:space="preserve">: Shaws’ post-wrong purchase; “continuing wrong” arguments; MPMRS continuous ownership.</w:t>
      </w:r>
    </w:p>
    <w:p w:rsidR="00000000" w:rsidDel="00000000" w:rsidP="00000000" w:rsidRDefault="00000000" w:rsidRPr="00000000" w14:paraId="00000039">
      <w:pPr>
        <w:numPr>
          <w:ilvl w:val="0"/>
          <w:numId w:val="6"/>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Demand requirement</w:t>
      </w:r>
      <w:r w:rsidDel="00000000" w:rsidR="00000000" w:rsidRPr="00000000">
        <w:rPr>
          <w:rFonts w:ascii="Times New Roman" w:cs="Times New Roman" w:eastAsia="Times New Roman" w:hAnsi="Times New Roman"/>
          <w:sz w:val="24"/>
          <w:szCs w:val="24"/>
          <w:shd w:fill="fcfcfc" w:val="clear"/>
          <w:rtl w:val="0"/>
        </w:rPr>
        <w:t xml:space="preserve">: effect of making demand; demand vs demand futility pleading; whether later-added claims require new demand.</w:t>
      </w:r>
    </w:p>
    <w:p w:rsidR="00000000" w:rsidDel="00000000" w:rsidP="00000000" w:rsidRDefault="00000000" w:rsidRPr="00000000" w14:paraId="0000003A">
      <w:pPr>
        <w:numPr>
          <w:ilvl w:val="0"/>
          <w:numId w:val="6"/>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Stays / sequencing</w:t>
      </w:r>
      <w:r w:rsidDel="00000000" w:rsidR="00000000" w:rsidRPr="00000000">
        <w:rPr>
          <w:rFonts w:ascii="Times New Roman" w:cs="Times New Roman" w:eastAsia="Times New Roman" w:hAnsi="Times New Roman"/>
          <w:sz w:val="24"/>
          <w:szCs w:val="24"/>
          <w:shd w:fill="fcfcfc" w:val="clear"/>
          <w:rtl w:val="0"/>
        </w:rPr>
        <w:t xml:space="preserve">: interaction of committee investigation with pending derivative litigation.</w:t>
      </w:r>
    </w:p>
    <w:p w:rsidR="00000000" w:rsidDel="00000000" w:rsidP="00000000" w:rsidRDefault="00000000" w:rsidRPr="00000000" w14:paraId="0000003B">
      <w:pPr>
        <w:pStyle w:val="Heading3"/>
        <w:keepNext w:val="0"/>
        <w:keepLines w:val="0"/>
        <w:numPr>
          <w:ilvl w:val="0"/>
          <w:numId w:val="5"/>
        </w:numPr>
        <w:shd w:fill="fcfcfc" w:val="clear"/>
        <w:spacing w:after="0" w:afterAutospacing="0" w:before="0" w:beforeAutospacing="0" w:line="288" w:lineRule="auto"/>
        <w:ind w:left="720" w:hanging="360"/>
        <w:rPr>
          <w:rFonts w:ascii="Times New Roman" w:cs="Times New Roman" w:eastAsia="Times New Roman" w:hAnsi="Times New Roman"/>
          <w:b w:val="1"/>
          <w:bCs w:val="1"/>
          <w:color w:val="000000"/>
          <w:sz w:val="24"/>
          <w:szCs w:val="24"/>
          <w:shd w:fill="fcfcfc" w:val="clear"/>
        </w:rPr>
      </w:pPr>
      <w:bookmarkStart w:colFirst="0" w:colLast="0" w:name="_1tdn53r50xqq" w:id="5"/>
      <w:bookmarkEnd w:id="5"/>
      <w:r w:rsidDel="00000000" w:rsidR="00000000" w:rsidRPr="00000000">
        <w:rPr>
          <w:rFonts w:ascii="Times New Roman" w:cs="Times New Roman" w:eastAsia="Times New Roman" w:hAnsi="Times New Roman"/>
          <w:b w:val="1"/>
          <w:bCs w:val="1"/>
          <w:color w:val="000000"/>
          <w:sz w:val="24"/>
          <w:szCs w:val="24"/>
          <w:shd w:fill="fcfcfc" w:val="clear"/>
          <w:rtl w:val="0"/>
        </w:rPr>
        <w:t xml:space="preserve">MBCA (2016) § 7.44 Motions to Dismiss</w:t>
      </w:r>
    </w:p>
    <w:p w:rsidR="00000000" w:rsidDel="00000000" w:rsidP="00000000" w:rsidRDefault="00000000" w:rsidRPr="00000000" w14:paraId="0000003C">
      <w:pPr>
        <w:numPr>
          <w:ilvl w:val="0"/>
          <w:numId w:val="4"/>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sz w:val="24"/>
          <w:szCs w:val="24"/>
          <w:shd w:fill="fcfcfc" w:val="clear"/>
          <w:rtl w:val="0"/>
        </w:rPr>
        <w:t xml:space="preserve">Statutory </w:t>
      </w:r>
      <w:r w:rsidDel="00000000" w:rsidR="00000000" w:rsidRPr="00000000">
        <w:rPr>
          <w:rFonts w:ascii="Times New Roman" w:cs="Times New Roman" w:eastAsia="Times New Roman" w:hAnsi="Times New Roman"/>
          <w:b w:val="1"/>
          <w:bCs w:val="1"/>
          <w:sz w:val="24"/>
          <w:szCs w:val="24"/>
          <w:shd w:fill="fcfcfc" w:val="clear"/>
          <w:rtl w:val="0"/>
        </w:rPr>
        <w:t xml:space="preserve">grounds for dismissal</w:t>
      </w:r>
      <w:r w:rsidDel="00000000" w:rsidR="00000000" w:rsidRPr="00000000">
        <w:rPr>
          <w:rFonts w:ascii="Times New Roman" w:cs="Times New Roman" w:eastAsia="Times New Roman" w:hAnsi="Times New Roman"/>
          <w:sz w:val="24"/>
          <w:szCs w:val="24"/>
          <w:shd w:fill="fcfcfc" w:val="clear"/>
          <w:rtl w:val="0"/>
        </w:rPr>
        <w:t xml:space="preserve">: determination by independent directors (or committee) that suit is not in corporation’s best interests.</w:t>
      </w:r>
    </w:p>
    <w:p w:rsidR="00000000" w:rsidDel="00000000" w:rsidP="00000000" w:rsidRDefault="00000000" w:rsidRPr="00000000" w14:paraId="0000003D">
      <w:pPr>
        <w:numPr>
          <w:ilvl w:val="0"/>
          <w:numId w:val="4"/>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Independence</w:t>
      </w:r>
      <w:r w:rsidDel="00000000" w:rsidR="00000000" w:rsidRPr="00000000">
        <w:rPr>
          <w:rFonts w:ascii="Times New Roman" w:cs="Times New Roman" w:eastAsia="Times New Roman" w:hAnsi="Times New Roman"/>
          <w:sz w:val="24"/>
          <w:szCs w:val="24"/>
          <w:shd w:fill="fcfcfc" w:val="clear"/>
          <w:rtl w:val="0"/>
        </w:rPr>
        <w:t xml:space="preserve"> challenges: committee members’ ties (donor/appointment/designee status).</w:t>
      </w:r>
    </w:p>
    <w:p w:rsidR="00000000" w:rsidDel="00000000" w:rsidP="00000000" w:rsidRDefault="00000000" w:rsidRPr="00000000" w14:paraId="0000003E">
      <w:pPr>
        <w:numPr>
          <w:ilvl w:val="0"/>
          <w:numId w:val="4"/>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Good faith</w:t>
      </w:r>
      <w:r w:rsidDel="00000000" w:rsidR="00000000" w:rsidRPr="00000000">
        <w:rPr>
          <w:rFonts w:ascii="Times New Roman" w:cs="Times New Roman" w:eastAsia="Times New Roman" w:hAnsi="Times New Roman"/>
          <w:sz w:val="24"/>
          <w:szCs w:val="24"/>
          <w:shd w:fill="fcfcfc" w:val="clear"/>
          <w:rtl w:val="0"/>
        </w:rPr>
        <w:t xml:space="preserve"> and </w:t>
      </w:r>
      <w:r w:rsidDel="00000000" w:rsidR="00000000" w:rsidRPr="00000000">
        <w:rPr>
          <w:rFonts w:ascii="Times New Roman" w:cs="Times New Roman" w:eastAsia="Times New Roman" w:hAnsi="Times New Roman"/>
          <w:b w:val="1"/>
          <w:bCs w:val="1"/>
          <w:sz w:val="24"/>
          <w:szCs w:val="24"/>
          <w:shd w:fill="fcfcfc" w:val="clear"/>
          <w:rtl w:val="0"/>
        </w:rPr>
        <w:t xml:space="preserve">reasonable inquiry</w:t>
      </w:r>
      <w:r w:rsidDel="00000000" w:rsidR="00000000" w:rsidRPr="00000000">
        <w:rPr>
          <w:rFonts w:ascii="Times New Roman" w:cs="Times New Roman" w:eastAsia="Times New Roman" w:hAnsi="Times New Roman"/>
          <w:sz w:val="24"/>
          <w:szCs w:val="24"/>
          <w:shd w:fill="fcfcfc" w:val="clear"/>
          <w:rtl w:val="0"/>
        </w:rPr>
        <w:t xml:space="preserve">: adequacy of interviews/document review; use of experts; counsel conflicts; scope of permissible discovery into committee process.</w:t>
      </w:r>
    </w:p>
    <w:p w:rsidR="00000000" w:rsidDel="00000000" w:rsidP="00000000" w:rsidRDefault="00000000" w:rsidRPr="00000000" w14:paraId="0000003F">
      <w:pPr>
        <w:pStyle w:val="Heading3"/>
        <w:keepNext w:val="0"/>
        <w:keepLines w:val="0"/>
        <w:numPr>
          <w:ilvl w:val="0"/>
          <w:numId w:val="5"/>
        </w:numPr>
        <w:shd w:fill="fcfcfc" w:val="clear"/>
        <w:spacing w:after="0" w:afterAutospacing="0" w:before="0" w:beforeAutospacing="0" w:line="288" w:lineRule="auto"/>
        <w:ind w:left="720" w:hanging="360"/>
        <w:rPr>
          <w:rFonts w:ascii="Times New Roman" w:cs="Times New Roman" w:eastAsia="Times New Roman" w:hAnsi="Times New Roman"/>
          <w:b w:val="1"/>
          <w:bCs w:val="1"/>
          <w:color w:val="000000"/>
          <w:sz w:val="24"/>
          <w:szCs w:val="24"/>
          <w:shd w:fill="fcfcfc" w:val="clear"/>
        </w:rPr>
      </w:pPr>
      <w:bookmarkStart w:colFirst="0" w:colLast="0" w:name="_emsricg568c5" w:id="6"/>
      <w:bookmarkEnd w:id="6"/>
      <w:r w:rsidDel="00000000" w:rsidR="00000000" w:rsidRPr="00000000">
        <w:rPr>
          <w:rFonts w:ascii="Times New Roman" w:cs="Times New Roman" w:eastAsia="Times New Roman" w:hAnsi="Times New Roman"/>
          <w:b w:val="1"/>
          <w:bCs w:val="1"/>
          <w:color w:val="000000"/>
          <w:sz w:val="24"/>
          <w:szCs w:val="24"/>
          <w:shd w:fill="fcfcfc" w:val="clear"/>
          <w:rtl w:val="0"/>
        </w:rPr>
        <w:t xml:space="preserve">Agency</w:t>
      </w:r>
    </w:p>
    <w:p w:rsidR="00000000" w:rsidDel="00000000" w:rsidP="00000000" w:rsidRDefault="00000000" w:rsidRPr="00000000" w14:paraId="00000040">
      <w:pPr>
        <w:numPr>
          <w:ilvl w:val="0"/>
          <w:numId w:val="2"/>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sz w:val="24"/>
          <w:szCs w:val="24"/>
          <w:shd w:fill="fcfcfc" w:val="clear"/>
          <w:rtl w:val="0"/>
        </w:rPr>
        <w:t xml:space="preserve">Whether corporate decision-makers (CEO, directors/committee) act as </w:t>
      </w:r>
      <w:r w:rsidDel="00000000" w:rsidR="00000000" w:rsidRPr="00000000">
        <w:rPr>
          <w:rFonts w:ascii="Times New Roman" w:cs="Times New Roman" w:eastAsia="Times New Roman" w:hAnsi="Times New Roman"/>
          <w:b w:val="1"/>
          <w:bCs w:val="1"/>
          <w:sz w:val="24"/>
          <w:szCs w:val="24"/>
          <w:shd w:fill="fcfcfc" w:val="clear"/>
          <w:rtl w:val="0"/>
        </w:rPr>
        <w:t xml:space="preserve">agents</w:t>
      </w:r>
      <w:r w:rsidDel="00000000" w:rsidR="00000000" w:rsidRPr="00000000">
        <w:rPr>
          <w:rFonts w:ascii="Times New Roman" w:cs="Times New Roman" w:eastAsia="Times New Roman" w:hAnsi="Times New Roman"/>
          <w:sz w:val="24"/>
          <w:szCs w:val="24"/>
          <w:shd w:fill="fcfcfc" w:val="clear"/>
          <w:rtl w:val="0"/>
        </w:rPr>
        <w:t xml:space="preserve"> of the corporation when contracting, issuing statements, or directing consultants.</w:t>
      </w:r>
    </w:p>
    <w:p w:rsidR="00000000" w:rsidDel="00000000" w:rsidP="00000000" w:rsidRDefault="00000000" w:rsidRPr="00000000" w14:paraId="00000041">
      <w:pPr>
        <w:numPr>
          <w:ilvl w:val="0"/>
          <w:numId w:val="2"/>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Actual authority</w:t>
      </w:r>
      <w:r w:rsidDel="00000000" w:rsidR="00000000" w:rsidRPr="00000000">
        <w:rPr>
          <w:rFonts w:ascii="Times New Roman" w:cs="Times New Roman" w:eastAsia="Times New Roman" w:hAnsi="Times New Roman"/>
          <w:sz w:val="24"/>
          <w:szCs w:val="24"/>
          <w:shd w:fill="fcfcfc" w:val="clear"/>
          <w:rtl w:val="0"/>
        </w:rPr>
        <w:t xml:space="preserve"> of CEO to enter consulting agreement under bylaws/budget approvals.</w:t>
      </w:r>
    </w:p>
    <w:p w:rsidR="00000000" w:rsidDel="00000000" w:rsidP="00000000" w:rsidRDefault="00000000" w:rsidRPr="00000000" w14:paraId="00000042">
      <w:pPr>
        <w:numPr>
          <w:ilvl w:val="0"/>
          <w:numId w:val="2"/>
        </w:numPr>
        <w:pBdr>
          <w:top w:color="auto" w:space="3" w:sz="0" w:val="none"/>
          <w:bottom w:color="auto" w:space="3" w:sz="0" w:val="none"/>
          <w:right w:color="auto" w:space="3" w:sz="0" w:val="none"/>
          <w:between w:color="auto" w:space="3" w:sz="0" w:val="none"/>
        </w:pBdr>
        <w:spacing w:after="0" w:afterAutospacing="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Apparent authority</w:t>
      </w:r>
      <w:r w:rsidDel="00000000" w:rsidR="00000000" w:rsidRPr="00000000">
        <w:rPr>
          <w:rFonts w:ascii="Times New Roman" w:cs="Times New Roman" w:eastAsia="Times New Roman" w:hAnsi="Times New Roman"/>
          <w:sz w:val="24"/>
          <w:szCs w:val="24"/>
          <w:shd w:fill="fcfcfc" w:val="clear"/>
          <w:rtl w:val="0"/>
        </w:rPr>
        <w:t xml:space="preserve"> of Vail to bind Meridian (title, email, company representations, Rusk’s email).</w:t>
      </w:r>
    </w:p>
    <w:p w:rsidR="00000000" w:rsidDel="00000000" w:rsidP="00000000" w:rsidRDefault="00000000" w:rsidRPr="00000000" w14:paraId="00000043">
      <w:pPr>
        <w:numPr>
          <w:ilvl w:val="0"/>
          <w:numId w:val="2"/>
        </w:numPr>
        <w:pBdr>
          <w:top w:color="auto" w:space="3" w:sz="0" w:val="none"/>
          <w:bottom w:color="auto" w:space="3" w:sz="0" w:val="none"/>
          <w:right w:color="auto" w:space="3" w:sz="0" w:val="none"/>
          <w:between w:color="auto" w:space="3" w:sz="0" w:val="none"/>
        </w:pBdr>
        <w:spacing w:after="300" w:before="0" w:beforeAutospacing="0" w:lineRule="auto"/>
        <w:ind w:left="720" w:hanging="360"/>
        <w:rPr>
          <w:color w:val="000000"/>
          <w:shd w:fill="fcfcfc" w:val="clear"/>
        </w:rPr>
      </w:pPr>
      <w:r w:rsidDel="00000000" w:rsidR="00000000" w:rsidRPr="00000000">
        <w:rPr>
          <w:rFonts w:ascii="Times New Roman" w:cs="Times New Roman" w:eastAsia="Times New Roman" w:hAnsi="Times New Roman"/>
          <w:b w:val="1"/>
          <w:bCs w:val="1"/>
          <w:sz w:val="24"/>
          <w:szCs w:val="24"/>
          <w:shd w:fill="fcfcfc" w:val="clear"/>
          <w:rtl w:val="0"/>
        </w:rPr>
        <w:t xml:space="preserve">Ratification</w:t>
      </w:r>
      <w:r w:rsidDel="00000000" w:rsidR="00000000" w:rsidRPr="00000000">
        <w:rPr>
          <w:rFonts w:ascii="Times New Roman" w:cs="Times New Roman" w:eastAsia="Times New Roman" w:hAnsi="Times New Roman"/>
          <w:sz w:val="24"/>
          <w:szCs w:val="24"/>
          <w:shd w:fill="fcfcfc" w:val="clear"/>
          <w:rtl w:val="0"/>
        </w:rPr>
        <w:t xml:space="preserve"> by Meridian through acceptance of benefits/performance and failure to timely repudiate.</w:t>
      </w:r>
    </w:p>
    <w:p w:rsidR="00000000" w:rsidDel="00000000" w:rsidP="00000000" w:rsidRDefault="00000000" w:rsidRPr="00000000" w14:paraId="00000044">
      <w:pPr>
        <w:shd w:fill="fcfcfc" w:val="clear"/>
        <w:spacing w:after="60" w:before="60" w:line="360" w:lineRule="auto"/>
        <w:rPr>
          <w:rFonts w:ascii="Times New Roman" w:cs="Times New Roman" w:eastAsia="Times New Roman" w:hAnsi="Times New Roman"/>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hd w:fill="fcfcfc" w:val="clear"/>
        <w:spacing w:after="60" w:before="180" w:line="288" w:lineRule="auto"/>
        <w:rPr>
          <w:rFonts w:ascii="Times New Roman" w:cs="Times New Roman" w:eastAsia="Times New Roman" w:hAnsi="Times New Roman"/>
          <w:b w:val="1"/>
          <w:bCs w:val="1"/>
          <w:sz w:val="28"/>
          <w:szCs w:val="28"/>
        </w:rPr>
      </w:pPr>
      <w:bookmarkStart w:colFirst="0" w:colLast="0" w:name="_2nt1g477bf8l" w:id="7"/>
      <w:bookmarkEnd w:id="7"/>
      <w:r w:rsidDel="00000000" w:rsidR="00000000" w:rsidRPr="00000000">
        <w:rPr>
          <w:rFonts w:ascii="Times New Roman" w:cs="Times New Roman" w:eastAsia="Times New Roman" w:hAnsi="Times New Roman"/>
          <w:b w:val="1"/>
          <w:bCs w:val="1"/>
          <w:sz w:val="28"/>
          <w:szCs w:val="28"/>
          <w:rtl w:val="0"/>
        </w:rPr>
        <w:t xml:space="preserve">Summary of the Issues</w:t>
      </w:r>
    </w:p>
    <w:p w:rsidR="00000000" w:rsidDel="00000000" w:rsidP="00000000" w:rsidRDefault="00000000" w:rsidRPr="00000000" w14:paraId="00000046">
      <w:pPr>
        <w:shd w:fill="fcfcfc" w:val="clear"/>
        <w:spacing w:after="6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pattern centers on a shareholder derivative suit arising from a rushed acquisition, questionable disclosures, a post-closing consulting arrangement, and a conflicted stock-for-stock merger, testing when directors and officers breach duties of care, loyalty, and good faith/oversight and how the business judgment rule may (or may not) protect board decisions. It forces students to distinguish derivative from direct claims across overpayment/dilution, disclosure-based investor harm, and equity offerings, while applying derivative standing rules (including contemporaneous ownership) and demand doctrine. It then tees up a corporation’s motion to dismiss under MBCA (2016) § 7.44, focusing on the statutory prerequisites—independence, good faith, and reasonable inquiry—and the plaintiff’s ability to obtain limited discovery to challenge the committee process. Finally, it embeds agency issues about when corporate actors function as agents, the scope of a CEO’s actual authority, a consultant’s apparent authority to bind the corporation, and ratification through acceptance of contractual benefits.</w:t>
      </w:r>
    </w:p>
    <w:p w:rsidR="00000000" w:rsidDel="00000000" w:rsidP="00000000" w:rsidRDefault="00000000" w:rsidRPr="00000000" w14:paraId="00000047">
      <w:pPr>
        <w:rPr>
          <w:rFonts w:ascii="Times New Roman" w:cs="Times New Roman" w:eastAsia="Times New Roman" w:hAnsi="Times New Roman"/>
          <w:shd w:fill="fcfcfc" w:val="clear"/>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hd w:fill="fcfcfc" w:val="clea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hd w:fill="fcfcfc" w:val="clea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hd w:fill="fcfcfc" w:val="clear"/>
        </w:rPr>
      </w:pPr>
      <w:r w:rsidDel="00000000" w:rsidR="00000000" w:rsidRPr="00000000">
        <w:rPr>
          <w:rtl w:val="0"/>
        </w:rPr>
      </w:r>
    </w:p>
    <w:p w:rsidR="00000000" w:rsidDel="00000000" w:rsidP="00000000" w:rsidRDefault="00000000" w:rsidRPr="00000000" w14:paraId="0000004B">
      <w:pPr>
        <w:rPr>
          <w:shd w:fill="fcfcfc" w:val="clea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b w:val="0"/>
        <w:bCs w:val="0"/>
        <w:i w:val="0"/>
        <w:iCs w:val="0"/>
        <w:smallCaps w:val="0"/>
        <w:strike w:val="0"/>
        <w:color w:val="2122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3"/>
      <w:numFmt w:val="bullet"/>
      <w:lvlText w:val=""/>
      <w:lvlJc w:val="left"/>
      <w:pPr>
        <w:ind w:left="720" w:hanging="360"/>
      </w:pPr>
      <w:rPr>
        <w:rFonts w:ascii="Arial" w:cs="Arial" w:eastAsia="Arial" w:hAnsi="Arial"/>
        <w:b w:val="0"/>
        <w:bCs w:val="0"/>
        <w:i w:val="0"/>
        <w:iCs w:val="0"/>
        <w:smallCaps w:val="0"/>
        <w:strike w:val="0"/>
        <w:color w:val="2122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122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0"/>
      <w:numFmt w:val="bullet"/>
      <w:lvlText w:val=""/>
      <w:lvlJc w:val="left"/>
      <w:pPr>
        <w:ind w:left="720" w:hanging="360"/>
      </w:pPr>
      <w:rPr>
        <w:rFonts w:ascii="Arial" w:cs="Arial" w:eastAsia="Arial" w:hAnsi="Arial"/>
        <w:b w:val="0"/>
        <w:bCs w:val="0"/>
        <w:i w:val="0"/>
        <w:iCs w:val="0"/>
        <w:smallCaps w:val="0"/>
        <w:strike w:val="0"/>
        <w:color w:val="2122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7"/>
      <w:numFmt w:val="bullet"/>
      <w:lvlText w:val=""/>
      <w:lvlJc w:val="left"/>
      <w:pPr>
        <w:ind w:left="720" w:hanging="360"/>
      </w:pPr>
      <w:rPr>
        <w:rFonts w:ascii="Arial" w:cs="Arial" w:eastAsia="Arial" w:hAnsi="Arial"/>
        <w:b w:val="0"/>
        <w:bCs w:val="0"/>
        <w:i w:val="0"/>
        <w:iCs w:val="0"/>
        <w:smallCaps w:val="0"/>
        <w:strike w:val="0"/>
        <w:color w:val="2122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