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7CBD6" w14:textId="77777777" w:rsidR="00B41301" w:rsidRDefault="00B41301" w:rsidP="00365E98">
      <w:pPr>
        <w:spacing w:before="100" w:beforeAutospacing="1" w:after="100" w:afterAutospacing="1" w:line="240" w:lineRule="auto"/>
        <w:rPr>
          <w:rFonts w:ascii="Times New Roman" w:eastAsia="Times New Roman" w:hAnsi="Times New Roman" w:cs="Times New Roman"/>
          <w:b/>
          <w:bCs/>
          <w:color w:val="000000"/>
          <w:kern w:val="36"/>
          <w:sz w:val="48"/>
          <w:szCs w:val="48"/>
          <w14:ligatures w14:val="none"/>
        </w:rPr>
      </w:pPr>
    </w:p>
    <w:p w14:paraId="7FD59D40" w14:textId="77777777" w:rsidR="00B41301" w:rsidRDefault="00B41301" w:rsidP="00365E98">
      <w:pPr>
        <w:spacing w:before="100" w:beforeAutospacing="1" w:after="100" w:afterAutospacing="1" w:line="240" w:lineRule="auto"/>
        <w:rPr>
          <w:rFonts w:ascii="Times New Roman" w:eastAsia="Times New Roman" w:hAnsi="Times New Roman" w:cs="Times New Roman"/>
          <w:b/>
          <w:bCs/>
          <w:color w:val="000000"/>
          <w:kern w:val="36"/>
          <w:sz w:val="48"/>
          <w:szCs w:val="48"/>
          <w14:ligatures w14:val="none"/>
        </w:rPr>
      </w:pPr>
    </w:p>
    <w:p w14:paraId="0158EB2C" w14:textId="77777777" w:rsidR="00B41301" w:rsidRDefault="00B41301" w:rsidP="00365E98">
      <w:pPr>
        <w:spacing w:before="100" w:beforeAutospacing="1" w:after="100" w:afterAutospacing="1" w:line="240" w:lineRule="auto"/>
        <w:rPr>
          <w:rFonts w:ascii="Times New Roman" w:eastAsia="Times New Roman" w:hAnsi="Times New Roman" w:cs="Times New Roman"/>
          <w:b/>
          <w:bCs/>
          <w:color w:val="000000"/>
          <w:kern w:val="36"/>
          <w:sz w:val="48"/>
          <w:szCs w:val="48"/>
          <w14:ligatures w14:val="none"/>
        </w:rPr>
      </w:pPr>
    </w:p>
    <w:p w14:paraId="54BB0342" w14:textId="77777777" w:rsidR="00B41301" w:rsidRDefault="00B41301" w:rsidP="00365E98">
      <w:pPr>
        <w:spacing w:before="100" w:beforeAutospacing="1" w:after="100" w:afterAutospacing="1" w:line="240" w:lineRule="auto"/>
        <w:rPr>
          <w:rFonts w:ascii="Times New Roman" w:eastAsia="Times New Roman" w:hAnsi="Times New Roman" w:cs="Times New Roman"/>
          <w:b/>
          <w:bCs/>
          <w:color w:val="000000"/>
          <w:kern w:val="36"/>
          <w:sz w:val="48"/>
          <w:szCs w:val="48"/>
          <w14:ligatures w14:val="none"/>
        </w:rPr>
      </w:pPr>
    </w:p>
    <w:p w14:paraId="0EC68824" w14:textId="77777777" w:rsidR="00B41301" w:rsidRDefault="00B41301" w:rsidP="00365E98">
      <w:pPr>
        <w:spacing w:before="100" w:beforeAutospacing="1" w:after="100" w:afterAutospacing="1" w:line="240" w:lineRule="auto"/>
        <w:rPr>
          <w:rFonts w:ascii="Times New Roman" w:eastAsia="Times New Roman" w:hAnsi="Times New Roman" w:cs="Times New Roman"/>
          <w:b/>
          <w:bCs/>
          <w:color w:val="000000"/>
          <w:kern w:val="36"/>
          <w:sz w:val="48"/>
          <w:szCs w:val="48"/>
          <w14:ligatures w14:val="none"/>
        </w:rPr>
      </w:pPr>
    </w:p>
    <w:p w14:paraId="459BCD1A" w14:textId="77777777" w:rsidR="00B41301" w:rsidRDefault="00B41301" w:rsidP="00365E98">
      <w:pPr>
        <w:spacing w:before="100" w:beforeAutospacing="1" w:after="100" w:afterAutospacing="1" w:line="240" w:lineRule="auto"/>
        <w:rPr>
          <w:rFonts w:ascii="Times New Roman" w:eastAsia="Times New Roman" w:hAnsi="Times New Roman" w:cs="Times New Roman"/>
          <w:b/>
          <w:bCs/>
          <w:color w:val="000000"/>
          <w:kern w:val="36"/>
          <w:sz w:val="48"/>
          <w:szCs w:val="48"/>
          <w14:ligatures w14:val="none"/>
        </w:rPr>
      </w:pPr>
    </w:p>
    <w:p w14:paraId="7429272D" w14:textId="4B429781" w:rsidR="00365E98" w:rsidRDefault="00373BE9" w:rsidP="006D7243">
      <w:pPr>
        <w:pStyle w:val="Title"/>
        <w:jc w:val="center"/>
        <w:rPr>
          <w:rFonts w:eastAsia="Times New Roman"/>
        </w:rPr>
      </w:pPr>
      <w:r>
        <w:rPr>
          <w:rFonts w:eastAsia="Times New Roman"/>
        </w:rPr>
        <w:t>Can We Plan Mega Events Using AI?</w:t>
      </w:r>
    </w:p>
    <w:p w14:paraId="15D1B41B" w14:textId="77777777" w:rsidR="00B41301" w:rsidRDefault="00B41301" w:rsidP="006D7243">
      <w:pPr>
        <w:pStyle w:val="Subtitle"/>
        <w:jc w:val="center"/>
        <w:rPr>
          <w:rStyle w:val="Strong"/>
          <w:color w:val="000000"/>
        </w:rPr>
      </w:pPr>
      <w:r>
        <w:rPr>
          <w:rStyle w:val="Strong"/>
          <w:color w:val="000000"/>
        </w:rPr>
        <w:t>A Trust-Based Conceptual Framework for AI Adoption in Mega Event Governance</w:t>
      </w:r>
    </w:p>
    <w:p w14:paraId="7B1B4638" w14:textId="02AAF8DB" w:rsidR="00B41301" w:rsidRDefault="00B41301" w:rsidP="00B41301">
      <w:pPr>
        <w:pStyle w:val="NormalWeb"/>
        <w:jc w:val="center"/>
        <w:rPr>
          <w:rStyle w:val="Strong"/>
          <w:rFonts w:eastAsiaTheme="majorEastAsia"/>
          <w:color w:val="000000"/>
        </w:rPr>
      </w:pPr>
      <w:r>
        <w:rPr>
          <w:rStyle w:val="Strong"/>
          <w:rFonts w:eastAsiaTheme="majorEastAsia"/>
          <w:color w:val="000000"/>
        </w:rPr>
        <w:t xml:space="preserve">Salem Alhabshi </w:t>
      </w:r>
    </w:p>
    <w:p w14:paraId="249EAA36" w14:textId="7E3AB90C" w:rsidR="00B41301" w:rsidRDefault="00B41301" w:rsidP="00B41301">
      <w:pPr>
        <w:pStyle w:val="NormalWeb"/>
        <w:jc w:val="center"/>
        <w:rPr>
          <w:rStyle w:val="Strong"/>
          <w:rFonts w:eastAsiaTheme="majorEastAsia"/>
          <w:color w:val="000000"/>
        </w:rPr>
      </w:pPr>
      <w:r w:rsidRPr="00B41301">
        <w:rPr>
          <w:rFonts w:eastAsiaTheme="majorEastAsia"/>
          <w:b/>
          <w:bCs/>
          <w:color w:val="000000"/>
        </w:rPr>
        <w:t>Miranda Kitterlin-Lynch, Ph.D.</w:t>
      </w:r>
    </w:p>
    <w:p w14:paraId="1345EF7E" w14:textId="0D4410E7" w:rsidR="00B41301" w:rsidRDefault="00B41301" w:rsidP="00B41301">
      <w:pPr>
        <w:pStyle w:val="NormalWeb"/>
        <w:jc w:val="center"/>
        <w:rPr>
          <w:color w:val="000000"/>
        </w:rPr>
      </w:pPr>
      <w:r>
        <w:rPr>
          <w:rStyle w:val="Strong"/>
          <w:rFonts w:eastAsiaTheme="majorEastAsia"/>
          <w:color w:val="000000"/>
        </w:rPr>
        <w:t>Florida International University</w:t>
      </w:r>
    </w:p>
    <w:p w14:paraId="6B0EE84C" w14:textId="77777777" w:rsidR="00B41301" w:rsidRPr="00365E98" w:rsidRDefault="00B41301" w:rsidP="00B41301">
      <w:pPr>
        <w:spacing w:before="100" w:beforeAutospacing="1" w:after="100" w:afterAutospacing="1" w:line="240" w:lineRule="auto"/>
        <w:jc w:val="center"/>
        <w:rPr>
          <w:rFonts w:ascii="Times New Roman" w:eastAsia="Times New Roman" w:hAnsi="Times New Roman" w:cs="Times New Roman"/>
          <w:color w:val="000000"/>
          <w:kern w:val="0"/>
          <w14:ligatures w14:val="none"/>
        </w:rPr>
      </w:pPr>
    </w:p>
    <w:p w14:paraId="69D0D3BE" w14:textId="77777777" w:rsidR="00365E98" w:rsidRDefault="00365E98" w:rsidP="00365E9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5DA11494" w14:textId="77777777" w:rsidR="00B41301" w:rsidRDefault="00B41301" w:rsidP="00365E9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04A010EF" w14:textId="77777777" w:rsidR="00B41301" w:rsidRDefault="00B41301" w:rsidP="00365E9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6C65644C" w14:textId="77777777" w:rsidR="00B41301" w:rsidRDefault="00B41301" w:rsidP="00365E9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2354C1E2" w14:textId="77777777" w:rsidR="00B41301" w:rsidRDefault="00B41301" w:rsidP="00365E98">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0B581D88" w14:textId="4E71A2FC" w:rsidR="00365E98" w:rsidRPr="00B41301" w:rsidRDefault="00365E98" w:rsidP="006D7243">
      <w:pPr>
        <w:pStyle w:val="Heading1"/>
        <w:rPr>
          <w:rFonts w:eastAsia="Times New Roman"/>
        </w:rPr>
      </w:pPr>
      <w:r w:rsidRPr="00B41301">
        <w:rPr>
          <w:rFonts w:eastAsia="Times New Roman"/>
        </w:rPr>
        <w:lastRenderedPageBreak/>
        <w:t>ABSTRACT</w:t>
      </w:r>
    </w:p>
    <w:p w14:paraId="4E71A766" w14:textId="662B7092"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 xml:space="preserve">Mega events such as the Olympic Games, the FIFA World Cup, and large-scale religious gatherings like the Hajj pilgrimage operate in environments defined by extreme scale, logistical complexity, public scrutiny, and institutional risk. In these contexts, AI technologies are increasingly used to support planning, real-time monitoring, and decision support, with growing evidence of their value for operational efficiency, risk mitigation, and communication in large event settings (Kumar &amp; </w:t>
      </w:r>
      <w:proofErr w:type="spellStart"/>
      <w:r w:rsidRPr="00B41301">
        <w:rPr>
          <w:rFonts w:ascii="Times New Roman" w:hAnsi="Times New Roman" w:cs="Times New Roman"/>
        </w:rPr>
        <w:t>Ratten</w:t>
      </w:r>
      <w:proofErr w:type="spellEnd"/>
      <w:r w:rsidRPr="00B41301">
        <w:rPr>
          <w:rFonts w:ascii="Times New Roman" w:hAnsi="Times New Roman" w:cs="Times New Roman"/>
        </w:rPr>
        <w:t xml:space="preserve">, 2026; Neuhofer et al., 2015; Ben Salem &amp; </w:t>
      </w:r>
      <w:proofErr w:type="spellStart"/>
      <w:r w:rsidRPr="00B41301">
        <w:rPr>
          <w:rFonts w:ascii="Times New Roman" w:hAnsi="Times New Roman" w:cs="Times New Roman"/>
        </w:rPr>
        <w:t>Ishtiwi</w:t>
      </w:r>
      <w:proofErr w:type="spellEnd"/>
      <w:r w:rsidRPr="00B41301">
        <w:rPr>
          <w:rFonts w:ascii="Times New Roman" w:hAnsi="Times New Roman" w:cs="Times New Roman"/>
        </w:rPr>
        <w:t>, 2025).</w:t>
      </w:r>
    </w:p>
    <w:p w14:paraId="792FC859"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Yet AI adoption in mega events remains uneven. Technical functionality alone does not ensure managerial reliance in settings where operational failure may create safety, reputational, and political consequences. Managers must also consider transparency, accountability, ethical governance, and algorithmic reliability, making trust a central condition of adoption.</w:t>
      </w:r>
    </w:p>
    <w:p w14:paraId="7DDFAAC3" w14:textId="325E0751" w:rsidR="00365E98" w:rsidRPr="006D7243" w:rsidRDefault="00365E98" w:rsidP="006D7243">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This study develops a conceptual framework explaining how managerial trust influences AI adoption in mega event environments. Drawing on the Unified Theory of Acceptance and Use of Technology (Venkatesh et al., 2003), Organizational Trust Theory (Mayer et al., 1995), and emerging AI governance research, the framework proposes that performance expectancy and facilitating conditions influence adoption intentions directly and indirectly through trust in AI systems. Trust is conceptualized as a function of perceived AI ability and governance integrity, extending event management theory while offering practical guidance for responsible AI integration in future mega event governance.</w:t>
      </w:r>
    </w:p>
    <w:p w14:paraId="08A6FA12" w14:textId="77777777" w:rsidR="00365E98" w:rsidRPr="00B41301" w:rsidRDefault="00365E98" w:rsidP="006D7243">
      <w:pPr>
        <w:pStyle w:val="Heading1"/>
        <w:rPr>
          <w:rFonts w:eastAsia="Times New Roman"/>
        </w:rPr>
      </w:pPr>
      <w:r w:rsidRPr="00B41301">
        <w:rPr>
          <w:rFonts w:eastAsia="Times New Roman"/>
        </w:rPr>
        <w:lastRenderedPageBreak/>
        <w:t>1. INTRODUCTION</w:t>
      </w:r>
    </w:p>
    <w:p w14:paraId="08D4485A"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Mega events represent some of the most complex temporary organizational systems in contemporary society. Events such as the Olympic Games, the FIFA World Cup, and other large-scale global gatherings require coordination across transportation, infrastructure, security, digital communication, and multiple stakeholder groups. Their scale, compressed timelines, and global visibility create environments marked by operational pressure, institutional risk, and public accountability.</w:t>
      </w:r>
    </w:p>
    <w:p w14:paraId="52E866EE"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This complexity is not only logistical but also institutional. Mega events bring together governments, international governing bodies, private partners, security agencies, and local communities within temporary governance structures that must deliver under intense scrutiny. Research has shown that these environments are frequently affected by planning inefficiencies, governance difficulties, and cost overruns, while also requiring rapid knowledge development and transfer across event cycles (Flyvbjerg, 2014; Zhou, 2023).</w:t>
      </w:r>
    </w:p>
    <w:p w14:paraId="38C1A82E"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 xml:space="preserve">To respond to these challenges, organizers increasingly rely on advanced digital technologies. Among them, artificial intelligence (AI) has emerged as a particularly influential innovation because it can process large data streams, generate predictive insights, support automated decision-making, and strengthen real-time situational awareness. Recent scholarship shows that AI applications now span multiple stages of the event lifecycle, including planning, logistics, crowd monitoring, marketing, and post-event evaluation (Kumar &amp; </w:t>
      </w:r>
      <w:proofErr w:type="spellStart"/>
      <w:r w:rsidRPr="00B41301">
        <w:rPr>
          <w:rFonts w:ascii="Times New Roman" w:hAnsi="Times New Roman" w:cs="Times New Roman"/>
        </w:rPr>
        <w:t>Ratten</w:t>
      </w:r>
      <w:proofErr w:type="spellEnd"/>
      <w:r w:rsidRPr="00B41301">
        <w:rPr>
          <w:rFonts w:ascii="Times New Roman" w:hAnsi="Times New Roman" w:cs="Times New Roman"/>
        </w:rPr>
        <w:t>, 2026).</w:t>
      </w:r>
    </w:p>
    <w:p w14:paraId="785DBFE1" w14:textId="78C884AF"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 xml:space="preserve">In practical terms, AI can help forecast crowd movement, anticipate transportation demand, optimize venue capacity, and support rapid responses to emerging safety risks. It can </w:t>
      </w:r>
      <w:r w:rsidRPr="00B41301">
        <w:rPr>
          <w:rFonts w:ascii="Times New Roman" w:hAnsi="Times New Roman" w:cs="Times New Roman"/>
        </w:rPr>
        <w:lastRenderedPageBreak/>
        <w:t xml:space="preserve">also enhance the experience ecosystem of events through intelligent communication tools, personalized services, and digital engagement platforms that shape how participants and fans interact with organizers and with one another (Neuhofer et al., 2015; Ben Salem &amp; </w:t>
      </w:r>
      <w:proofErr w:type="spellStart"/>
      <w:r w:rsidRPr="00B41301">
        <w:rPr>
          <w:rFonts w:ascii="Times New Roman" w:hAnsi="Times New Roman" w:cs="Times New Roman"/>
        </w:rPr>
        <w:t>Ishtiwi</w:t>
      </w:r>
      <w:proofErr w:type="spellEnd"/>
      <w:r w:rsidRPr="00B41301">
        <w:rPr>
          <w:rFonts w:ascii="Times New Roman" w:hAnsi="Times New Roman" w:cs="Times New Roman"/>
        </w:rPr>
        <w:t>, 2025).</w:t>
      </w:r>
    </w:p>
    <w:p w14:paraId="3F970C68"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Despite these capabilities, AI adoption in mega event environments remains uneven. Technical functionality alone does not guarantee managerial acceptance in high-risk institutional settings where operational failures can lead to safety concerns, reputational damage, and political consequences. Managers must assess not only the performance benefits of AI systems but also issues of transparency, accountability, ethical governance, surveillance, and algorithmic reliability. This broader pattern is consistent with research showing that managers’ adoption of AI-based systems is shaped by technical, organizational, ethical, and psychosocial facilitators and barriers rather than by perceived usefulness alone (Marocco et al., 2024).</w:t>
      </w:r>
    </w:p>
    <w:p w14:paraId="20C3BA64" w14:textId="3D859E7A"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One critical factor shaping reliance on technology under these conditions is trust. Organizational trust theory suggests that decision-makers are more willing to rely on systems when they perceive them as competent, reliable, and governed by appropriate safeguards (Mayer et al., 1995). Trust becomes especially important under conditions of uncertainty and vulnerability, where outcomes cannot be fully controlled in advance (</w:t>
      </w:r>
      <w:proofErr w:type="spellStart"/>
      <w:r w:rsidRPr="00B41301">
        <w:rPr>
          <w:rFonts w:ascii="Times New Roman" w:hAnsi="Times New Roman" w:cs="Times New Roman"/>
        </w:rPr>
        <w:t>Schoorman</w:t>
      </w:r>
      <w:proofErr w:type="spellEnd"/>
      <w:r w:rsidRPr="00B41301">
        <w:rPr>
          <w:rFonts w:ascii="Times New Roman" w:hAnsi="Times New Roman" w:cs="Times New Roman"/>
        </w:rPr>
        <w:t xml:space="preserve"> et al., 2007). This is also consistent with research on trust in automation, which shows that reliance depends not only on technical performance but also on whether users view automated systems as understandable, predictable, and appropriate for reliance (Lee &amp; See, 2004).</w:t>
      </w:r>
    </w:p>
    <w:p w14:paraId="0FD2422F"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 xml:space="preserve">However, the role of trust in shaping AI adoption within mega event environments remains underexplored in the event management literature. While recent studies have examined </w:t>
      </w:r>
      <w:r w:rsidRPr="00B41301">
        <w:rPr>
          <w:rFonts w:ascii="Times New Roman" w:hAnsi="Times New Roman" w:cs="Times New Roman"/>
        </w:rPr>
        <w:lastRenderedPageBreak/>
        <w:t>digital transformation and technological innovation in large-scale events, relatively limited attention has been devoted to explaining how trust in AI governance systems is formed and how it influences managerial adoption decisions in high-risk event contexts.</w:t>
      </w:r>
    </w:p>
    <w:p w14:paraId="1041ACDD"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To address this gap, the present study develops a conceptual framework explaining how managerial trust influences AI adoption in mega event environments. The framework integrates insights from the Unified Theory of Acceptance and Use of Technology (Venkatesh et al., 2003), organizational trust theory (Mayer et al., 1995), and emerging research on AI governance. At its core, the study argues that AI adoption in mega event environments cannot be explained by technological capability alone; it depends on trust shaped by perceived AI ability and governance integrity.</w:t>
      </w:r>
    </w:p>
    <w:p w14:paraId="64CC85EB" w14:textId="5030EE51" w:rsidR="00214FE2" w:rsidRPr="006D7243" w:rsidRDefault="00365E98" w:rsidP="006D7243">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By situating AI adoption within the institutional realities of mega events, this research contributes to event management scholarship in three ways. First, it extends technology adoption theory into high-risk event environments where institutional vulnerability and governance concerns matter. Second, it introduces trust as a central explanatory mechanism linking AI capability with adoption outcomes. Third, it emphasizes governance integrity as a structural factor supporting responsible and legitimate AI integration in future mega event governance.</w:t>
      </w:r>
    </w:p>
    <w:p w14:paraId="153A73F9" w14:textId="77777777" w:rsidR="00365E98" w:rsidRPr="00B41301" w:rsidRDefault="00365E98" w:rsidP="006D7243">
      <w:pPr>
        <w:pStyle w:val="Heading1"/>
        <w:rPr>
          <w:rFonts w:eastAsia="Times New Roman"/>
        </w:rPr>
      </w:pPr>
      <w:r w:rsidRPr="00B41301">
        <w:rPr>
          <w:rFonts w:eastAsia="Times New Roman"/>
        </w:rPr>
        <w:t>2. Mega Events as High-Risk Institutional Environments</w:t>
      </w:r>
    </w:p>
    <w:p w14:paraId="7E7FC4A3"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 xml:space="preserve">Mega events are widely recognized as some of the most complex organizational undertakings in modern society. They combine extreme scale, compressed planning horizons, and intense public visibility, requiring organizers to coordinate infrastructure, transportation, security, media communication, and stakeholder relationships within temporary yet highly </w:t>
      </w:r>
      <w:r w:rsidRPr="00B41301">
        <w:rPr>
          <w:rFonts w:ascii="Times New Roman" w:hAnsi="Times New Roman" w:cs="Times New Roman"/>
        </w:rPr>
        <w:lastRenderedPageBreak/>
        <w:t>exposed governance systems. Because these events attract global attention, even relatively minor failures can generate reputational, financial, and political consequences for host cities and organizing institutions.</w:t>
      </w:r>
    </w:p>
    <w:p w14:paraId="06A78F5D"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A defining feature of mega events is their temporary organizational structure. Organizing committees and governing bodies must assemble expertise, align stakeholders, and build operational systems within a finite time horizon before dissolving after the event. This temporary character intensifies coordination, accountability, and transition challenges and helps explain why mega events are not only logistical projects but also distinctive institutional settings (Lundin &amp; Söderholm, 1995; Flyvbjerg, 2014).</w:t>
      </w:r>
    </w:p>
    <w:p w14:paraId="653396B5"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Mega events also create significant knowledge management demands. Organizers must generate, capture, and transfer operational knowledge related to planning, logistics, stakeholder coordination, and event delivery, yet much of this knowledge is embedded in temporary structures and may be lost when organizing committees dissolve. Institutional differences across host cities and governance systems further complicate the transfer of lessons from one event cycle to the next (Zhou, 2023).</w:t>
      </w:r>
    </w:p>
    <w:p w14:paraId="0729993D"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At the same time, mega events are shaped by complex multi-stakeholder governance. Governments, international governing bodies, sponsors, security agencies, and local communities often pursue overlapping but not identical priorities. Managing these interests requires governance arrangements that balance operational efficiency with political legitimacy, social accountability, and public trust.</w:t>
      </w:r>
    </w:p>
    <w:p w14:paraId="61E879D2"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lastRenderedPageBreak/>
        <w:t>This complexity has increased with the growing role of digital infrastructure in ticketing, transportation, communication, surveillance, and operational analytics. Within this technological landscape, AI has emerged as a potentially powerful tool for supporting predictive analysis, real-time monitoring, and decision support. Yet its integration also introduces new concerns related to privacy, transparency, accountability, and ethical governance.</w:t>
      </w:r>
    </w:p>
    <w:p w14:paraId="7BED2BE6" w14:textId="148A59C8" w:rsidR="00365E98" w:rsidRPr="00B41301" w:rsidRDefault="00365E98" w:rsidP="006D7243">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For this reason, mega events should be understood not merely as large logistical undertakings but as high-risk institutional environments. Decision-makers must evaluate both technological capability and institutional implication when adopting new systems. The combination of operational complexity, governance accountability, and public scrutiny makes mega events a particularly valuable context for examining how trust, legitimacy, and governance integrity shape managerial willingness to rely on AI.</w:t>
      </w:r>
    </w:p>
    <w:p w14:paraId="0318F5DE" w14:textId="77777777" w:rsidR="00365E98" w:rsidRPr="00B41301" w:rsidRDefault="00365E98" w:rsidP="006D7243">
      <w:pPr>
        <w:pStyle w:val="Heading1"/>
        <w:rPr>
          <w:rFonts w:eastAsia="Times New Roman"/>
        </w:rPr>
      </w:pPr>
      <w:r w:rsidRPr="00B41301">
        <w:rPr>
          <w:rFonts w:eastAsia="Times New Roman"/>
        </w:rPr>
        <w:t>3. Artificial Intelligence in Mega Event Management</w:t>
      </w:r>
    </w:p>
    <w:p w14:paraId="6F9CF0CE" w14:textId="2254649E"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 xml:space="preserve">The increasing scale and complexity of mega events have encouraged organizers to adopt advanced digital technologies capable of supporting large-scale decision-making and operational coordination. Among these technologies, AI has emerged as one of the most influential innovations because it can process large volumes of data, detect patterns, generate predictive insights, and automate complex analytical tasks. These capabilities are particularly valuable in environments where large crowds, shifting conditions, and multi-system coordination demand rapid, data-driven decisions (Kumar &amp; </w:t>
      </w:r>
      <w:proofErr w:type="spellStart"/>
      <w:r w:rsidRPr="00B41301">
        <w:rPr>
          <w:rFonts w:ascii="Times New Roman" w:hAnsi="Times New Roman" w:cs="Times New Roman"/>
        </w:rPr>
        <w:t>Ratten</w:t>
      </w:r>
      <w:proofErr w:type="spellEnd"/>
      <w:r w:rsidRPr="00B41301">
        <w:rPr>
          <w:rFonts w:ascii="Times New Roman" w:hAnsi="Times New Roman" w:cs="Times New Roman"/>
        </w:rPr>
        <w:t>, 2026).</w:t>
      </w:r>
    </w:p>
    <w:p w14:paraId="72CF00A7"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 xml:space="preserve">In mega event management, AI applications can be grouped into three broad areas. First, AI supports planning and simulation through attendance forecasting, venue optimization, risk </w:t>
      </w:r>
      <w:r w:rsidRPr="00B41301">
        <w:rPr>
          <w:rFonts w:ascii="Times New Roman" w:hAnsi="Times New Roman" w:cs="Times New Roman"/>
        </w:rPr>
        <w:lastRenderedPageBreak/>
        <w:t>prediction, and digital twin modelling. Predictive analytics and simulation tools help organizers test scenarios, anticipate bottlenecks, and improve planning for crowd movement, transportation, and emergency response before conditions unfold in the physical environment.</w:t>
      </w:r>
    </w:p>
    <w:p w14:paraId="0A58F424"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Second, AI supports operational monitoring and risk management. Computer vision, sensor networks, and AI-driven crowd analytics can help detect abnormal movement, identify density surges, monitor safety conditions, and strengthen situational awareness in real time. These tools are especially valuable in high-density environments where rapid intervention may prevent minor disturbances from escalating into serious safety events.</w:t>
      </w:r>
    </w:p>
    <w:p w14:paraId="119ACB18"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 xml:space="preserve">Third, AI is reshaping communication and stakeholder interaction. Intelligent platforms can personalize information, support participant navigation, improve communication flows, and analyze online engagement around major sporting events. Research on digital event ecosystems shows that algorithmic systems increasingly influence how content circulates, how fans engage online, and how organizers respond to public communication dynamics (Neuhofer et al., 2015; Ben Salem &amp; </w:t>
      </w:r>
      <w:proofErr w:type="spellStart"/>
      <w:r w:rsidRPr="00B41301">
        <w:rPr>
          <w:rFonts w:ascii="Times New Roman" w:hAnsi="Times New Roman" w:cs="Times New Roman"/>
        </w:rPr>
        <w:t>Ishtiwi</w:t>
      </w:r>
      <w:proofErr w:type="spellEnd"/>
      <w:r w:rsidRPr="00B41301">
        <w:rPr>
          <w:rFonts w:ascii="Times New Roman" w:hAnsi="Times New Roman" w:cs="Times New Roman"/>
        </w:rPr>
        <w:t>, 2025).</w:t>
      </w:r>
    </w:p>
    <w:p w14:paraId="7A6E0C2A"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Beyond these applications, AI can also support broader strategic coordination by integrating data from transportation systems, ticketing platforms, security infrastructure, and communication channels into decision-support environments. In this sense, AI is not limited to isolated operational tasks; it can become part of a wider governance infrastructure for large-scale events. Recent research likewise emphasizes the growing strategic significance of AI for leadership, sustainability, and operational coordination in mega event contexts (Megheirkouni et al., 2025).</w:t>
      </w:r>
    </w:p>
    <w:p w14:paraId="6AD5AD27" w14:textId="644920F9"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lastRenderedPageBreak/>
        <w:t>Despite these benefits, AI integration in mega events also raises governance and ethical concerns. Many systems rely on large-scale data collection, automated monitoring, and algorithmic analysis, creating tensions around surveillance, privacy, data governance, and algorithmic bias. These tensions are particularly sensitive in mega events because technologies are deployed under high visibility and may affect large populations in safety-critical environments.</w:t>
      </w:r>
    </w:p>
    <w:p w14:paraId="432A1D01" w14:textId="292CD0E4" w:rsidR="00365E98" w:rsidRPr="006D7243" w:rsidRDefault="00365E98" w:rsidP="006D7243">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These concerns show that AI adoption in mega events is not only a technological question but also a managerial and institutional one. Event managers must decide whether AI systems are sufficiently reliable, transparent, and accountable to support operational decisions. Accordingly, understanding adoption in this context requires more than a catalogue of applications; it requires a framework that explains how managers evaluate technological capability, institutional safeguards, and the risks of relying on AI-supported governance systems.</w:t>
      </w:r>
    </w:p>
    <w:p w14:paraId="50564372" w14:textId="77777777" w:rsidR="00365E98" w:rsidRPr="00B41301" w:rsidRDefault="00365E98" w:rsidP="006D7243">
      <w:pPr>
        <w:pStyle w:val="Heading1"/>
        <w:rPr>
          <w:rFonts w:eastAsia="Times New Roman"/>
        </w:rPr>
      </w:pPr>
      <w:r w:rsidRPr="00B41301">
        <w:rPr>
          <w:rFonts w:eastAsia="Times New Roman"/>
        </w:rPr>
        <w:t>4. Technology Adoption Theory in Event Contexts</w:t>
      </w:r>
    </w:p>
    <w:p w14:paraId="18664B5A"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Understanding how organizations adopt new technologies has long been central to information systems and management research. Among the most widely used frameworks is the Unified Theory of Acceptance and Use of Technology (UTAUT), which proposes that adoption is shaped by perceptions such as performance expectancy and facilitating conditions, alongside other social and usability-related influences (Venkatesh et al., 2003). In the context of this study, performance expectancy and facilitating conditions are especially relevant because they speak directly to whether managers believe AI will improve event governance and whether their organizations are prepared to implement it.</w:t>
      </w:r>
    </w:p>
    <w:p w14:paraId="2765747E"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lastRenderedPageBreak/>
        <w:t>In mega event settings, performance expectancy reflects the extent to which managers believe AI can improve outcomes such as crowd safety, logistical coordination, predictive decision-making, and operational responsiveness. Facilitating conditions refer to the infrastructural and organizational supports needed for implementation, including digital infrastructure, staff expertise, training, leadership support, and institutional readiness. When managers perceive both strong performance benefits and adequate support structures, adoption intentions are likely to increase.</w:t>
      </w:r>
    </w:p>
    <w:p w14:paraId="7A32D379"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However, mega events differ from many of the environments in which technology adoption models are commonly applied. They are high-risk governance settings in which technological failure may affect not only productivity but also safety, legitimacy, and public confidence. Research on user resistance to information systems further suggests that organizations may hesitate to adopt new technologies even when they appear beneficial, particularly when uncertainty, loss of control, or organizational disruption are involved (Kim &amp; Kankanhalli, 2009).</w:t>
      </w:r>
    </w:p>
    <w:p w14:paraId="34207DD0" w14:textId="31C45BA6" w:rsidR="00365E98" w:rsidRPr="006D7243" w:rsidRDefault="00365E98" w:rsidP="006D7243">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These limitations suggest that traditional adoption models, while useful, may be insufficient on their own for explaining AI adoption in mega event governance. In this context, managers must assess not only usefulness and readiness but also whether algorithmic systems can be trusted in environments characterized by uncertainty, accountability pressures, and public scrutiny. For that reason, technology adoption theory in mega events is most powerful when integrated with trust theory, which helps explain how decision-makers evaluate reliance on technological systems under conditions of institutional risk.</w:t>
      </w:r>
    </w:p>
    <w:p w14:paraId="5D876688" w14:textId="77777777" w:rsidR="00365E98" w:rsidRPr="00B41301" w:rsidRDefault="00365E98" w:rsidP="006D7243">
      <w:pPr>
        <w:pStyle w:val="Heading1"/>
        <w:rPr>
          <w:rFonts w:eastAsia="Times New Roman"/>
        </w:rPr>
      </w:pPr>
      <w:r w:rsidRPr="00B41301">
        <w:rPr>
          <w:rFonts w:eastAsia="Times New Roman"/>
        </w:rPr>
        <w:lastRenderedPageBreak/>
        <w:t>5. Trust Theory and Risk in Mega Events</w:t>
      </w:r>
    </w:p>
    <w:p w14:paraId="2E7564AC"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Technology adoption theories explain why individuals may view a system as useful or feasible, but they do not fully explain why managers choose to rely on technology in environments marked by uncertainty and institutional risk. Mega events represent precisely such settings. Organizers must make decisions that may directly affect public safety, operational continuity, and institutional legitimacy, often under conditions where outcomes cannot be fully predicted in advance. In these environments, trust becomes a central mechanism enabling action despite vulnerability.</w:t>
      </w:r>
    </w:p>
    <w:p w14:paraId="68A3D839"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One of the most influential formulations of trust defines it as the willingness to accept vulnerability based on positive expectations regarding the intentions or behavior of another party (Mayer et al., 1995). This definition highlights that trust is not simply confidence in performance; it is a readiness to rely under uncertainty. Mayer et al. further argue that trust is shaped by perceptions of ability, benevolence, and integrity, while later work emphasizes that trust becomes especially important when formal control is incomplete and perceived risk is high (</w:t>
      </w:r>
      <w:proofErr w:type="spellStart"/>
      <w:r w:rsidRPr="00B41301">
        <w:rPr>
          <w:rFonts w:ascii="Times New Roman" w:hAnsi="Times New Roman" w:cs="Times New Roman"/>
        </w:rPr>
        <w:t>Schoorman</w:t>
      </w:r>
      <w:proofErr w:type="spellEnd"/>
      <w:r w:rsidRPr="00B41301">
        <w:rPr>
          <w:rFonts w:ascii="Times New Roman" w:hAnsi="Times New Roman" w:cs="Times New Roman"/>
        </w:rPr>
        <w:t xml:space="preserve"> et al., 2007).</w:t>
      </w:r>
    </w:p>
    <w:p w14:paraId="70AAF652"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In the context of AI adoption, the most relevant dimensions are ability and integrity. Perceived AI ability refers to managers’ beliefs that AI systems are technically competent, reliable, and capable of performing analytical and predictive tasks effectively. Integrity, in turn, concerns whether those systems are governed through acceptable principles, transparent procedures, and accountable oversight. Although benevolence remains part of the broader trust model, the manager–AI relationship in mega event governance is more strongly shaped by judgments about competence and governance than by assumptions of goodwill.</w:t>
      </w:r>
    </w:p>
    <w:p w14:paraId="69B88C0A" w14:textId="77777777" w:rsidR="00365E98" w:rsidRPr="00B41301" w:rsidRDefault="00365E98"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lastRenderedPageBreak/>
        <w:t>These dynamics matter because relying on AI in mega event environments often means accepting vulnerability to algorithmic error, opacity, or failure in safety-critical circumstances. Risk perception research suggests that technologies seen as opaque, difficult to control, or capable of serious negative consequences are often treated with greater skepticism (Slovic, 1987). Managers may therefore recognize the value of AI while still hesitating to depend on it unless they believe the system is both technically capable and institutionally well governed.</w:t>
      </w:r>
    </w:p>
    <w:p w14:paraId="622B2A5F" w14:textId="7187E328" w:rsidR="005217FC" w:rsidRPr="006D7243" w:rsidRDefault="00365E98" w:rsidP="006D7243">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Within the framework developed in this study, managerial trust in AI systems is therefore conceptualized as a function of two primary perceptions: AI ability and governance integrity. Trust acts as the mechanism through which managers move from acknowledging technological potential to accepting the vulnerability involved in operational reliance. This makes trust indispensable for explaining AI adoption in mega events, where decision-makers must weigh not only performance gains but also responsibility, legitimacy, and risk.</w:t>
      </w:r>
    </w:p>
    <w:p w14:paraId="2D055F05" w14:textId="77777777" w:rsidR="005217FC" w:rsidRPr="00B41301" w:rsidRDefault="005217FC" w:rsidP="006D7243">
      <w:pPr>
        <w:pStyle w:val="Heading1"/>
        <w:rPr>
          <w:rFonts w:eastAsia="Times New Roman"/>
        </w:rPr>
      </w:pPr>
      <w:r w:rsidRPr="00B41301">
        <w:rPr>
          <w:rFonts w:eastAsia="Times New Roman"/>
        </w:rPr>
        <w:t>6. AI Governance and Institutional Legitimacy</w:t>
      </w:r>
    </w:p>
    <w:p w14:paraId="421B1ADB" w14:textId="77777777" w:rsidR="005217FC" w:rsidRPr="00B41301" w:rsidRDefault="005217FC"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As AI technologies become more deeply embedded in organizational decision-making, questions of governance, accountability, and institutional legitimacy have become central to scholarly and policy debates. AI systems may improve efficiency and analytical capacity, but they also raise concerns about transparency, fairness, privacy protection, and responsibility for automated outcomes. These concerns intensify in settings where decisions affect large populations or critical public infrastructures.</w:t>
      </w:r>
    </w:p>
    <w:p w14:paraId="24E22DCF" w14:textId="77777777" w:rsidR="005217FC" w:rsidRPr="00B41301" w:rsidRDefault="005217FC"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 xml:space="preserve">Mega events are exemplary public-accountability settings in this regard. Event organizers operate under intense media scrutiny, substantial public investment, and strong expectations </w:t>
      </w:r>
      <w:r w:rsidRPr="00B41301">
        <w:rPr>
          <w:rFonts w:ascii="Times New Roman" w:hAnsi="Times New Roman" w:cs="Times New Roman"/>
        </w:rPr>
        <w:lastRenderedPageBreak/>
        <w:t>around safety, legality, and ethical governance. When AI systems are used to support crowd monitoring, access management, transport coordination, or security decision-making, their legitimacy depends not only on what they can do but also on how they are governed.</w:t>
      </w:r>
    </w:p>
    <w:p w14:paraId="14042768" w14:textId="77777777" w:rsidR="005217FC" w:rsidRPr="00B41301" w:rsidRDefault="005217FC"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AI governance refers to the institutional frameworks, regulatory mechanisms, and organizational practices that guide the design, deployment, and oversight of AI systems. Recent scholarship has emphasized principles such as transparency, accountability, fairness, and human oversight as core components of responsible AI governance (Jobin et al., 2019). Yet principles alone are often insufficient unless they are supported by enforceable practices, oversight structures, and accountability mechanisms that regulate implementation in practice (Mittelstadt, 2019).</w:t>
      </w:r>
    </w:p>
    <w:p w14:paraId="7E688603" w14:textId="77777777" w:rsidR="005217FC" w:rsidRPr="00B41301" w:rsidRDefault="005217FC"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This is why algorithmic accountability has become a key concept in debates on public-sector AI. Accountability mechanisms such as documentation requirements, audit procedures, transparency standards, and review processes help ensure that automated systems can be explained, evaluated, and challenged when necessary (Kroll et al., 2017). In mega event environments, where AI systems may support surveillance, crowd routing, or threat detection, such safeguards are essential for maintaining public trust and organizational legitimacy.</w:t>
      </w:r>
    </w:p>
    <w:p w14:paraId="0AEA1B00" w14:textId="77777777" w:rsidR="005217FC" w:rsidRPr="00B41301" w:rsidRDefault="005217FC"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Governance matters for adoption because it shapes perceived integrity, one of the core antecedents of trust. When managers believe that AI systems operate within transparent, accountable, and ethically responsible governance frameworks, they are more likely to perceive those systems as legitimate and trustworthy. Institutional legitimacy, in turn, is crucial in mega events, where operational effectiveness alone is not enough; governance arrangements must also be viewed as appropriate and acceptable within wider social expectations (Suchman, 1995).</w:t>
      </w:r>
    </w:p>
    <w:p w14:paraId="666DADC0" w14:textId="76D515F0" w:rsidR="005217FC" w:rsidRPr="006D7243" w:rsidRDefault="005217FC" w:rsidP="006D7243">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lastRenderedPageBreak/>
        <w:t>Within the conceptual framework developed here, governance integrity therefore functions as a structural antecedent of trust formation. It complements perceived AI ability by addressing a different managerial question: not only whether the system can perform, but whether it can be relied upon within a governance framework that protects accountability, transparency, and ethical responsibility. In high-risk event environments, AI adoption is therefore also a legitimacy problem, not simply a performance problem.</w:t>
      </w:r>
    </w:p>
    <w:p w14:paraId="18AF8E19" w14:textId="77777777" w:rsidR="005217FC" w:rsidRPr="00B41301" w:rsidRDefault="005217FC" w:rsidP="006D7243">
      <w:pPr>
        <w:pStyle w:val="Heading1"/>
        <w:rPr>
          <w:rFonts w:eastAsia="Times New Roman"/>
        </w:rPr>
      </w:pPr>
      <w:r w:rsidRPr="00B41301">
        <w:rPr>
          <w:rFonts w:eastAsia="Times New Roman"/>
        </w:rPr>
        <w:t>7. Integrated Conceptual Model and Propositions</w:t>
      </w:r>
    </w:p>
    <w:p w14:paraId="21EB056A" w14:textId="77777777" w:rsidR="005217FC" w:rsidRPr="00B41301" w:rsidRDefault="005217FC"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The preceding sections suggest that AI adoption in mega event environments is shaped by both technological perceptions and institutional trust mechanisms. Mega events are high-risk, high-visibility governance settings in which managers must evaluate not only whether AI systems can improve operations, but also whether they can be relied upon in legitimate and accountable ways. In other words, AI adoption in mega event environments cannot be explained by technological capability alone; it depends on trust shaped by perceived AI ability and governance integrity. To capture this complexity, the present study integrates technology adoption theory, organizational trust theory, and AI governance research into a single conceptual framework.</w:t>
      </w:r>
    </w:p>
    <w:p w14:paraId="503B6D0D" w14:textId="77777777" w:rsidR="005217FC" w:rsidRPr="00B41301" w:rsidRDefault="005217FC" w:rsidP="00B41301">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B41301">
        <w:rPr>
          <w:rFonts w:ascii="Times New Roman" w:hAnsi="Times New Roman" w:cs="Times New Roman"/>
        </w:rPr>
        <w:t>The model distinguishes between core adoption constructs, trust antecedents, and the final adoption outcome. Performance expectancy and facilitating conditions represent the core adoption constructs derived from technology adoption theory. Perceived AI ability and governance integrity function as antecedents of trust, reflecting judgments about technical competence and institutional safeguards. Trust in AI systems then shapes adoption intention, while also mediating part of the relationship between performance expectancy and intention.</w:t>
      </w:r>
    </w:p>
    <w:p w14:paraId="2F98A479" w14:textId="31D11606" w:rsidR="004A6960" w:rsidRPr="0018500E" w:rsidRDefault="005217FC" w:rsidP="0018500E">
      <w:pPr>
        <w:spacing w:before="100" w:beforeAutospacing="1" w:after="100" w:afterAutospacing="1" w:line="240" w:lineRule="auto"/>
        <w:rPr>
          <w:rFonts w:ascii="Times New Roman" w:eastAsia="Times New Roman" w:hAnsi="Times New Roman" w:cs="Times New Roman"/>
          <w:color w:val="000000"/>
          <w:kern w:val="0"/>
          <w14:ligatures w14:val="none"/>
        </w:rPr>
      </w:pPr>
      <w:r w:rsidRPr="0018500E">
        <w:rPr>
          <w:rFonts w:ascii="Times New Roman" w:hAnsi="Times New Roman" w:cs="Times New Roman"/>
        </w:rPr>
        <w:lastRenderedPageBreak/>
        <w:t>Figure 1 illustrates the conceptual framework proposed in this study.</w:t>
      </w:r>
      <w:r w:rsidR="0018500E">
        <w:rPr>
          <w:rFonts w:ascii="Times New Roman" w:hAnsi="Times New Roman" w:cs="Times New Roman"/>
        </w:rPr>
        <w:t xml:space="preserve">   </w:t>
      </w:r>
      <w:r>
        <w:rPr>
          <w:noProof/>
        </w:rPr>
        <w:drawing>
          <wp:inline distT="0" distB="0" distL="0" distR="0" wp14:anchorId="17FD7701" wp14:editId="71CB2086">
            <wp:extent cx="5303520" cy="5359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_map_white.png"/>
                    <pic:cNvPicPr/>
                  </pic:nvPicPr>
                  <pic:blipFill>
                    <a:blip r:embed="rId7"/>
                    <a:stretch>
                      <a:fillRect/>
                    </a:stretch>
                  </pic:blipFill>
                  <pic:spPr>
                    <a:xfrm>
                      <a:off x="0" y="0"/>
                      <a:ext cx="5303520" cy="5359870"/>
                    </a:xfrm>
                    <a:prstGeom prst="rect">
                      <a:avLst/>
                    </a:prstGeom>
                  </pic:spPr>
                </pic:pic>
              </a:graphicData>
            </a:graphic>
          </wp:inline>
        </w:drawing>
      </w:r>
    </w:p>
    <w:p w14:paraId="0DEA8263" w14:textId="77777777" w:rsidR="004A6960" w:rsidRDefault="00000000">
      <w:pPr>
        <w:jc w:val="center"/>
      </w:pPr>
      <w:r>
        <w:rPr>
          <w:i/>
          <w:sz w:val="20"/>
        </w:rPr>
        <w:t>Figure 1. Conceptual framework for AI adoption in mega event environments.</w:t>
      </w:r>
    </w:p>
    <w:p w14:paraId="7898CDED" w14:textId="77777777" w:rsidR="004A6960" w:rsidRDefault="004A6960"/>
    <w:p w14:paraId="22E1564B" w14:textId="77777777" w:rsidR="005217FC" w:rsidRPr="0018500E" w:rsidRDefault="005217FC" w:rsidP="006D7243">
      <w:pPr>
        <w:pStyle w:val="Heading2"/>
        <w:rPr>
          <w:rFonts w:eastAsia="Times New Roman"/>
        </w:rPr>
      </w:pPr>
      <w:r w:rsidRPr="0018500E">
        <w:rPr>
          <w:rFonts w:eastAsia="Times New Roman"/>
        </w:rPr>
        <w:t>Performance Expectancy and AI Adoption</w:t>
      </w:r>
    </w:p>
    <w:p w14:paraId="39B83132"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 xml:space="preserve">Performance expectancy represents the degree to which individuals believe that using a particular technology will enhance their job performance (Venkatesh et al., 2003). In mega event contexts, performance expectancy reflects managers’ beliefs that AI technologies can improve </w:t>
      </w:r>
      <w:r w:rsidRPr="0018500E">
        <w:rPr>
          <w:rFonts w:ascii="Times New Roman" w:eastAsia="Times New Roman" w:hAnsi="Times New Roman" w:cs="Times New Roman"/>
          <w:color w:val="000000"/>
          <w:kern w:val="0"/>
          <w14:ligatures w14:val="none"/>
        </w:rPr>
        <w:lastRenderedPageBreak/>
        <w:t>operational outcomes such as crowd management, safety monitoring, infrastructure coordination, and predictive decision-making.</w:t>
      </w:r>
    </w:p>
    <w:p w14:paraId="6A441C9C"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AI systems offer several capabilities that may enhance performance in mega event environments. Predictive analytics can forecast crowd movements and transportation demand, allowing organizers to implement proactive safety measures. Real-time monitoring systems can analyze sensor data and surveillance feeds to detect emerging operational risks. Digital twin simulations can model venue operations and evaluate alternative planning scenarios before events occur. These capabilities allow event managers to respond more effectively to the dynamic operational conditions that characterize mega events.</w:t>
      </w:r>
    </w:p>
    <w:p w14:paraId="520A7785"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When managers perceive that AI technologies can significantly improve operational performance and reduce event-related risks, they are more likely to develop positive attitudes toward adopting these systems. Accordingly, performance expectancy is expected to positively influence managerial adoption intentions.</w:t>
      </w:r>
    </w:p>
    <w:p w14:paraId="5D59EC95" w14:textId="5DD5E805" w:rsidR="0018500E" w:rsidRDefault="005217FC" w:rsidP="0018500E">
      <w:pPr>
        <w:pStyle w:val="Heading3"/>
        <w:rPr>
          <w:rFonts w:eastAsia="Times New Roman"/>
        </w:rPr>
      </w:pPr>
      <w:r w:rsidRPr="0018500E">
        <w:rPr>
          <w:rFonts w:eastAsia="Times New Roman"/>
        </w:rPr>
        <w:t>Proposition 1 (P1):</w:t>
      </w:r>
    </w:p>
    <w:p w14:paraId="40DAA5E9" w14:textId="76881350"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Performance expectancy positively influences managers’ intention to adopt AI technologies in mega event management.</w:t>
      </w:r>
    </w:p>
    <w:p w14:paraId="1F1BB230" w14:textId="77777777" w:rsidR="005217FC" w:rsidRPr="0018500E" w:rsidRDefault="005217FC" w:rsidP="006D7243">
      <w:pPr>
        <w:pStyle w:val="Heading2"/>
        <w:rPr>
          <w:rFonts w:eastAsia="Times New Roman"/>
        </w:rPr>
      </w:pPr>
      <w:r w:rsidRPr="0018500E">
        <w:rPr>
          <w:rFonts w:eastAsia="Times New Roman"/>
        </w:rPr>
        <w:t>Facilitating Conditions and Adoption Intention</w:t>
      </w:r>
    </w:p>
    <w:p w14:paraId="048FAD6A"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Facilitating conditions refer to the organizational and technological infrastructure available to support technology implementation (Venkatesh et al., 2003). In mega event environments, facilitating conditions include technological infrastructure, staff expertise, leadership support, and organizational readiness to implement AI systems.</w:t>
      </w:r>
    </w:p>
    <w:p w14:paraId="16FC640C"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lastRenderedPageBreak/>
        <w:t>Mega events require substantial investments in digital infrastructure such as sensor networks, communication systems, and data analytics platforms. Without adequate infrastructure and technical expertise, even advanced AI technologies may fail to deliver their intended benefits. Organizational readiness therefore plays an important role in enabling technology adoption.</w:t>
      </w:r>
    </w:p>
    <w:p w14:paraId="6B96DE19"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Facilitating conditions also include training programs that enable event professionals to understand and effectively utilize AI technologies. When managers perceive that their organizations possess sufficient technological resources and institutional support to implement AI systems, they may feel more confident in adopting these technologies.</w:t>
      </w:r>
    </w:p>
    <w:p w14:paraId="60431201" w14:textId="081697FE" w:rsidR="0018500E" w:rsidRDefault="005217FC" w:rsidP="0018500E">
      <w:pPr>
        <w:pStyle w:val="Heading3"/>
        <w:rPr>
          <w:rFonts w:eastAsia="Times New Roman"/>
        </w:rPr>
      </w:pPr>
      <w:r w:rsidRPr="0018500E">
        <w:rPr>
          <w:rFonts w:eastAsia="Times New Roman"/>
        </w:rPr>
        <w:t>Proposition 2 (P2):</w:t>
      </w:r>
    </w:p>
    <w:p w14:paraId="67FE88FE" w14:textId="454AC3B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Facilitating conditions positively influence managers’ intention to adopt AI technologies in mega event management.</w:t>
      </w:r>
    </w:p>
    <w:p w14:paraId="2ADA5A6E" w14:textId="77777777" w:rsidR="005217FC" w:rsidRPr="0018500E" w:rsidRDefault="005217FC" w:rsidP="006D7243">
      <w:pPr>
        <w:pStyle w:val="Heading2"/>
        <w:rPr>
          <w:rFonts w:eastAsia="Times New Roman"/>
        </w:rPr>
      </w:pPr>
      <w:r w:rsidRPr="0018500E">
        <w:rPr>
          <w:rFonts w:eastAsia="Times New Roman"/>
        </w:rPr>
        <w:t>AI Ability and Trust Formation</w:t>
      </w:r>
    </w:p>
    <w:p w14:paraId="15CC05DB"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Trust theory emphasizes that perceptions of ability represent a central factor influencing trust formation (Mayer et al., 1995). Ability reflects the perceived competence of a system or actor to perform its intended tasks effectively.</w:t>
      </w:r>
    </w:p>
    <w:p w14:paraId="4F095882"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In the context of AI systems, perceived ability refers to managers’ beliefs regarding the technical competence and reliability of AI technologies. AI ability may be reflected in the accuracy of predictive models, the reliability of real-time monitoring systems, and the effectiveness of AI-supported decision tools.</w:t>
      </w:r>
    </w:p>
    <w:p w14:paraId="349544AD"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lastRenderedPageBreak/>
        <w:t>When managers perceive that AI systems demonstrate high levels of technical competence and reliability, they are more likely to develop trust in these technologies. This trust can reduce perceived vulnerability associated with relying on algorithmic decision-support systems in high-risk environments.</w:t>
      </w:r>
    </w:p>
    <w:p w14:paraId="4ED8ED7A" w14:textId="50D23C55" w:rsidR="0018500E" w:rsidRDefault="005217FC" w:rsidP="0018500E">
      <w:pPr>
        <w:pStyle w:val="Heading3"/>
        <w:rPr>
          <w:rFonts w:eastAsia="Times New Roman"/>
        </w:rPr>
      </w:pPr>
      <w:r w:rsidRPr="0018500E">
        <w:rPr>
          <w:rFonts w:eastAsia="Times New Roman"/>
        </w:rPr>
        <w:t>Proposition 3 (P3):</w:t>
      </w:r>
    </w:p>
    <w:p w14:paraId="6ED44877" w14:textId="1AC9E813"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Perceived AI ability positively influences managers’ trust in AI systems used in mega event management.</w:t>
      </w:r>
    </w:p>
    <w:p w14:paraId="60ECEE38" w14:textId="77777777" w:rsidR="005217FC" w:rsidRPr="0018500E" w:rsidRDefault="005217FC" w:rsidP="006D7243">
      <w:pPr>
        <w:pStyle w:val="Heading2"/>
        <w:rPr>
          <w:rFonts w:eastAsia="Times New Roman"/>
        </w:rPr>
      </w:pPr>
      <w:r w:rsidRPr="0018500E">
        <w:rPr>
          <w:rFonts w:eastAsia="Times New Roman"/>
        </w:rPr>
        <w:t>Governance Integrity and Trust Formation</w:t>
      </w:r>
    </w:p>
    <w:p w14:paraId="7C7BD73F"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Governance integrity refers to the extent to which AI systems operate within transparent, accountable, and ethically responsible governance frameworks. Governance mechanisms such as transparency standards, oversight committees, ethical guidelines, and accountability procedures can help ensure that AI systems are deployed responsibly (Jobin et al., 2019; Wirtz et al., 2020).</w:t>
      </w:r>
    </w:p>
    <w:p w14:paraId="35FD8439"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In mega event environments, governance integrity plays a critical role in shaping managerial perceptions of technological legitimacy. When AI systems are embedded within robust governance frameworks, managers may perceive them as more trustworthy and legitimate. Conversely, a lack of transparency or accountability may undermine trust in algorithmic decision-support systems.</w:t>
      </w:r>
    </w:p>
    <w:p w14:paraId="59C64D9B"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Governance integrity therefore serves as an institutional mechanism that reinforces trust formation in AI systems.</w:t>
      </w:r>
    </w:p>
    <w:p w14:paraId="580B02A0" w14:textId="77777777" w:rsidR="0018500E" w:rsidRDefault="005217FC" w:rsidP="0018500E">
      <w:pPr>
        <w:pStyle w:val="Heading3"/>
        <w:rPr>
          <w:rFonts w:eastAsia="Times New Roman"/>
        </w:rPr>
      </w:pPr>
      <w:r w:rsidRPr="0018500E">
        <w:rPr>
          <w:rFonts w:eastAsia="Times New Roman"/>
        </w:rPr>
        <w:lastRenderedPageBreak/>
        <w:t>Proposition 4 (P4):</w:t>
      </w:r>
      <w:r w:rsidR="0018500E">
        <w:rPr>
          <w:rFonts w:eastAsia="Times New Roman"/>
        </w:rPr>
        <w:t xml:space="preserve"> </w:t>
      </w:r>
    </w:p>
    <w:p w14:paraId="2A3B0AC3" w14:textId="249A8C74"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Perceived governance integrity positively influences managers’ trust in AI systems in mega event environments.</w:t>
      </w:r>
    </w:p>
    <w:p w14:paraId="361898BB" w14:textId="77777777" w:rsidR="005217FC" w:rsidRPr="0018500E" w:rsidRDefault="005217FC" w:rsidP="006D7243">
      <w:pPr>
        <w:pStyle w:val="Heading2"/>
        <w:rPr>
          <w:rFonts w:eastAsia="Times New Roman"/>
        </w:rPr>
      </w:pPr>
      <w:r w:rsidRPr="0018500E">
        <w:rPr>
          <w:rFonts w:eastAsia="Times New Roman"/>
        </w:rPr>
        <w:t>Trust and AI Adoption</w:t>
      </w:r>
    </w:p>
    <w:p w14:paraId="68A8191F" w14:textId="3CB5C99F"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hAnsi="Times New Roman" w:cs="Times New Roman"/>
        </w:rPr>
        <w:t xml:space="preserve">Trust plays a central role in enabling decision-makers to rely on technological systems under conditions of uncertainty and risk. When managers trust that AI systems are competent and governed by appropriate institutional safeguards, they may be more willing to incorporate these systems into their decision-making processes. Importantly, effective AI integration requires calibrated rather than unconditional trust. Research on humans and automation shows that both overreliance and </w:t>
      </w:r>
      <w:r w:rsidR="0018500E" w:rsidRPr="0018500E">
        <w:rPr>
          <w:rFonts w:ascii="Times New Roman" w:hAnsi="Times New Roman" w:cs="Times New Roman"/>
        </w:rPr>
        <w:t>under reliance</w:t>
      </w:r>
      <w:r w:rsidRPr="0018500E">
        <w:rPr>
          <w:rFonts w:ascii="Times New Roman" w:hAnsi="Times New Roman" w:cs="Times New Roman"/>
        </w:rPr>
        <w:t xml:space="preserve"> can undermine decision quality, highlighting the continued importance of human oversight in safety-critical environments (Parasuraman &amp; Riley, 1997).</w:t>
      </w:r>
    </w:p>
    <w:p w14:paraId="13D89647"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In mega event environments, reliance on AI systems often involves accepting a degree of vulnerability associated with algorithmic decision-support tools. Trust allows managers to overcome this vulnerability and rely on AI-generated insights when making operational decisions.</w:t>
      </w:r>
    </w:p>
    <w:p w14:paraId="7709D75D"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Consequently, trust is expected to function as a key mediator linking technological perceptions with adoption intentions.</w:t>
      </w:r>
    </w:p>
    <w:p w14:paraId="13BA8FF4" w14:textId="7731364A" w:rsidR="0018500E" w:rsidRDefault="005217FC" w:rsidP="0018500E">
      <w:pPr>
        <w:pStyle w:val="Heading3"/>
        <w:rPr>
          <w:rFonts w:eastAsia="Times New Roman"/>
        </w:rPr>
      </w:pPr>
      <w:r w:rsidRPr="0018500E">
        <w:rPr>
          <w:rFonts w:eastAsia="Times New Roman"/>
        </w:rPr>
        <w:t>Proposition 5 (P5):</w:t>
      </w:r>
    </w:p>
    <w:p w14:paraId="162F85FE" w14:textId="0D1FB049"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Managers’ trust in AI systems positively influences their intention to adopt AI technologies in mega event management.</w:t>
      </w:r>
    </w:p>
    <w:p w14:paraId="383413A0" w14:textId="77777777" w:rsidR="005217FC" w:rsidRPr="0018500E" w:rsidRDefault="005217FC" w:rsidP="006D7243">
      <w:pPr>
        <w:pStyle w:val="Heading2"/>
        <w:rPr>
          <w:rFonts w:eastAsia="Times New Roman"/>
        </w:rPr>
      </w:pPr>
      <w:r w:rsidRPr="0018500E">
        <w:rPr>
          <w:rFonts w:eastAsia="Times New Roman"/>
        </w:rPr>
        <w:lastRenderedPageBreak/>
        <w:t>Trust as a Mediating Mechanism</w:t>
      </w:r>
    </w:p>
    <w:p w14:paraId="40E1BD5D"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While performance expectancy may influence adoption intentions directly, trust may also function as an important mediating mechanism linking technological perceptions with managerial decision-making. Even when managers recognize the potential benefits of AI technologies, they may hesitate to adopt these systems if they lack confidence in their reliability or governance structures.</w:t>
      </w:r>
    </w:p>
    <w:p w14:paraId="2F2A6344"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Trust therefore serves as a bridge between technological capability and managerial reliance. When managers perceive that AI systems are both technically competent and governed by appropriate oversight mechanisms, trust formation may strengthen the relationship between technological perceptions and adoption intentions.</w:t>
      </w:r>
    </w:p>
    <w:p w14:paraId="55C516CC" w14:textId="12636233" w:rsidR="0018500E" w:rsidRDefault="005217FC" w:rsidP="0018500E">
      <w:pPr>
        <w:spacing w:before="100" w:beforeAutospacing="1" w:after="100" w:afterAutospacing="1" w:line="480" w:lineRule="auto"/>
        <w:rPr>
          <w:rFonts w:ascii="Times New Roman" w:eastAsia="Times New Roman" w:hAnsi="Times New Roman" w:cs="Times New Roman"/>
          <w:color w:val="000000"/>
          <w:kern w:val="0"/>
          <w14:ligatures w14:val="none"/>
        </w:rPr>
      </w:pPr>
      <w:r w:rsidRPr="0018500E">
        <w:rPr>
          <w:rStyle w:val="Heading3Char"/>
        </w:rPr>
        <w:t>Proposition 6 (P6):</w:t>
      </w:r>
    </w:p>
    <w:p w14:paraId="0BC5E0EB" w14:textId="38C76D9E"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eastAsia="Times New Roman" w:hAnsi="Times New Roman" w:cs="Times New Roman"/>
          <w:color w:val="000000"/>
          <w:kern w:val="0"/>
          <w14:ligatures w14:val="none"/>
        </w:rPr>
        <w:t>Trust in AI systems mediates the relationship between performance expectancy and managers’ intention to adopt AI technologies in mega event management.</w:t>
      </w:r>
    </w:p>
    <w:p w14:paraId="419C5A35" w14:textId="4AE55D6B" w:rsidR="005217FC" w:rsidRPr="0018500E" w:rsidRDefault="005217FC" w:rsidP="0018500E">
      <w:pPr>
        <w:spacing w:before="100" w:beforeAutospacing="1" w:after="100" w:afterAutospacing="1" w:line="480" w:lineRule="auto"/>
        <w:ind w:firstLine="720"/>
        <w:outlineLvl w:val="1"/>
        <w:rPr>
          <w:rFonts w:ascii="Times New Roman" w:eastAsia="Times New Roman" w:hAnsi="Times New Roman" w:cs="Times New Roman"/>
          <w:b/>
          <w:bCs/>
          <w:color w:val="000000"/>
          <w:kern w:val="0"/>
          <w:sz w:val="36"/>
          <w:szCs w:val="36"/>
          <w14:ligatures w14:val="none"/>
        </w:rPr>
      </w:pPr>
      <w:r w:rsidRPr="0018500E">
        <w:rPr>
          <w:rFonts w:ascii="Times New Roman" w:hAnsi="Times New Roman" w:cs="Times New Roman"/>
        </w:rPr>
        <w:t>Taken together, the framework explains AI adoption in mega event environments as the product of both performance-based assessments and institutional trust formation. It shows that managers are more likely to adopt AI when they expect meaningful operational value, perceive sufficient organizational support, and develop trust grounded in both AI ability and governance integrity.</w:t>
      </w:r>
    </w:p>
    <w:p w14:paraId="263D7B4C" w14:textId="77777777" w:rsidR="005217FC" w:rsidRPr="0018500E" w:rsidRDefault="005217FC" w:rsidP="0018500E">
      <w:pPr>
        <w:pStyle w:val="Heading1"/>
        <w:rPr>
          <w:rFonts w:eastAsia="Times New Roman"/>
        </w:rPr>
      </w:pPr>
      <w:r w:rsidRPr="0018500E">
        <w:rPr>
          <w:rFonts w:eastAsia="Times New Roman"/>
        </w:rPr>
        <w:lastRenderedPageBreak/>
        <w:t>8. Theoretical Contributions</w:t>
      </w:r>
    </w:p>
    <w:p w14:paraId="1FAFD67F"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hAnsi="Times New Roman" w:cs="Times New Roman"/>
        </w:rPr>
        <w:t>This study contributes to the literature by bringing together event management research, technology adoption theory, organizational trust theory, and AI governance scholarship in a single framework tailored to mega event environments. While prior work has examined digital transformation and technological innovation in events, less attention has been given to the managerial logic through which AI systems are judged as adoptable, trustworthy, and legitimate in high-risk governance settings.</w:t>
      </w:r>
    </w:p>
    <w:p w14:paraId="37C48F58" w14:textId="3BF82455"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hAnsi="Times New Roman" w:cs="Times New Roman"/>
        </w:rPr>
        <w:t>First, the study contributes to mega-event and event management scholarship by conceptualizing AI adoption as an institutional as well as operational issue. It shows that in mega events, technological decisions are shaped not only by efficiency expectations but also by public accountability, temporary governance structures, and reputational vulnerability. This shifts the discussion from what AI can do to the conditions under which event managers are willing to rely on it.</w:t>
      </w:r>
    </w:p>
    <w:p w14:paraId="0ABBE835"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hAnsi="Times New Roman" w:cs="Times New Roman"/>
        </w:rPr>
        <w:t>Second, the study extends technology adoption research by showing why traditional adoption models benefit from integration with trust theory in high-risk environments. Performance expectancy and facilitating conditions remain important, but they do not fully capture the vulnerability involved in relying on algorithmic systems for safety-critical and publicly visible decisions. By introducing trust as a central explanatory mechanism, the framework provides a more nuanced account of how adoption unfolds in complex governance contexts.</w:t>
      </w:r>
    </w:p>
    <w:p w14:paraId="65C7E66F"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hAnsi="Times New Roman" w:cs="Times New Roman"/>
        </w:rPr>
        <w:lastRenderedPageBreak/>
        <w:t>Third, the study contributes to emerging research on AI governance and legitimacy by positioning governance integrity as a structural antecedent of trust. This helps bridge the gap between normative AI governance debates and the practical realities of managerial adoption. In doing so, it also offers a platform for future empirical research. The framework is well suited to empirical testing through surveys, interviews, and case studies involving event organizers, governing bodies, and public authorities in future mega event research.</w:t>
      </w:r>
    </w:p>
    <w:p w14:paraId="2B090989" w14:textId="2FACAABF"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hAnsi="Times New Roman" w:cs="Times New Roman"/>
        </w:rPr>
        <w:t>Taken together, these contributions demonstrate that AI adoption in mega event environments cannot be fully explained through technological capability alone. Instead, adoption emerges from the interaction of performance expectations, organizational readiness, trust formation, and governance integrity in settings where institutional risk and legitimacy are central.</w:t>
      </w:r>
    </w:p>
    <w:p w14:paraId="14BF9035" w14:textId="77777777" w:rsidR="005217FC" w:rsidRPr="0018500E" w:rsidRDefault="005217FC" w:rsidP="0018500E">
      <w:pPr>
        <w:pStyle w:val="Heading1"/>
        <w:rPr>
          <w:rFonts w:eastAsia="Times New Roman"/>
        </w:rPr>
      </w:pPr>
      <w:r w:rsidRPr="0018500E">
        <w:rPr>
          <w:rFonts w:eastAsia="Times New Roman"/>
        </w:rPr>
        <w:t>9. Practical Implications for Mega Event Organizers</w:t>
      </w:r>
    </w:p>
    <w:p w14:paraId="140C0704"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hAnsi="Times New Roman" w:cs="Times New Roman"/>
        </w:rPr>
        <w:t>The framework developed in this study suggests that successful AI integration in mega events requires organizers to approach AI as both a technological resource and a governance system. Operational benefits matter, but adoption is more likely to succeed when implementation is embedded in institutional arrangements that support trust, accountability, and legitimacy.</w:t>
      </w:r>
    </w:p>
    <w:p w14:paraId="2C75DC0D"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hAnsi="Times New Roman" w:cs="Times New Roman"/>
        </w:rPr>
        <w:t>First, organizers should prioritize transparent and accountable AI governance. This includes clear documentation of system functions, explainability where possible, review mechanisms for consequential decisions, and governance procedures that clarify how data are collected, analyzed, and used. Such measures help reduce uncertainty and strengthen managerial confidence in AI-supported operations.</w:t>
      </w:r>
    </w:p>
    <w:p w14:paraId="4087B005"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hAnsi="Times New Roman" w:cs="Times New Roman"/>
        </w:rPr>
        <w:lastRenderedPageBreak/>
        <w:t>Second, organizers should strengthen organizational readiness and capacity. Mega events require robust digital infrastructure, technical expertise, staff training, and leadership support if AI systems are to be integrated effectively into planning and operational processes. Without these facilitating conditions, even technically promising systems may fail to deliver their intended value.</w:t>
      </w:r>
    </w:p>
    <w:p w14:paraId="30788CBB"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hAnsi="Times New Roman" w:cs="Times New Roman"/>
        </w:rPr>
        <w:t xml:space="preserve">Third, AI-supported decision-making in mega events should retain meaningful human oversight. Supervisory review, decision verification, and clear responsibility structures are especially important in safety-critical settings, where overreliance and </w:t>
      </w:r>
      <w:proofErr w:type="spellStart"/>
      <w:r w:rsidRPr="0018500E">
        <w:rPr>
          <w:rFonts w:ascii="Times New Roman" w:hAnsi="Times New Roman" w:cs="Times New Roman"/>
        </w:rPr>
        <w:t>underreliance</w:t>
      </w:r>
      <w:proofErr w:type="spellEnd"/>
      <w:r w:rsidRPr="0018500E">
        <w:rPr>
          <w:rFonts w:ascii="Times New Roman" w:hAnsi="Times New Roman" w:cs="Times New Roman"/>
        </w:rPr>
        <w:t xml:space="preserve"> can both undermine decision quality (Parasuraman &amp; Riley, 1997). Managers should therefore use AI as a decision-support capability rather than as a substitute for accountable judgment.</w:t>
      </w:r>
    </w:p>
    <w:p w14:paraId="47D10209" w14:textId="1BF2271C"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hAnsi="Times New Roman" w:cs="Times New Roman"/>
        </w:rPr>
        <w:t>Fourth, organizers should strengthen stakeholder legitimacy and standardization through public communication, stakeholder engagement, ethical oversight structures, and the development or adoption of standardized governance guidelines. Such guidelines can help ensure that AI use remains aligned with legal standards, societal expectations, and best-practice principles across different host environments while also supporting knowledge transfer across host cities from one event cycle to the next. These measures are particularly important in mega events, where technological governance is highly visible and closely tied to public trust.</w:t>
      </w:r>
    </w:p>
    <w:p w14:paraId="3847E4DE" w14:textId="77777777" w:rsidR="005217FC" w:rsidRPr="0018500E" w:rsidRDefault="005217FC" w:rsidP="0018500E">
      <w:pPr>
        <w:pStyle w:val="Heading1"/>
        <w:rPr>
          <w:rFonts w:eastAsia="Times New Roman"/>
        </w:rPr>
      </w:pPr>
      <w:r w:rsidRPr="0018500E">
        <w:rPr>
          <w:rFonts w:eastAsia="Times New Roman"/>
        </w:rPr>
        <w:t>10. Conclusion and Future Research</w:t>
      </w:r>
    </w:p>
    <w:p w14:paraId="3923EB12"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hAnsi="Times New Roman" w:cs="Times New Roman"/>
        </w:rPr>
        <w:t xml:space="preserve">Mega events are high-risk, highly visible governance environments in which organizers increasingly turn to AI to improve planning, coordination, monitoring, and operational responsiveness. Yet this study argues that adoption in such contexts cannot be understood as a </w:t>
      </w:r>
      <w:r w:rsidRPr="0018500E">
        <w:rPr>
          <w:rFonts w:ascii="Times New Roman" w:hAnsi="Times New Roman" w:cs="Times New Roman"/>
        </w:rPr>
        <w:lastRenderedPageBreak/>
        <w:t>purely technical decision. Managers must decide whether AI systems can be relied upon in environments where safety, legitimacy, and institutional reputation are at stake.</w:t>
      </w:r>
    </w:p>
    <w:p w14:paraId="31FDE3E3"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hAnsi="Times New Roman" w:cs="Times New Roman"/>
        </w:rPr>
        <w:t>To address this challenge, the study developed a conceptual framework that integrates technology adoption theory, organizational trust theory, and AI governance research. The framework proposes that performance expectancy and facilitating conditions shape adoption intentions, but that managerial trust plays a central role in translating technological promise into operational reliance. Trust, in turn, is shaped by perceived AI ability and governance integrity. Accordingly, AI adoption in mega event environments cannot be explained by technological capability alone; it depends on trust shaped by perceived AI ability and governance integrity.</w:t>
      </w:r>
    </w:p>
    <w:p w14:paraId="741C46D7"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hAnsi="Times New Roman" w:cs="Times New Roman"/>
        </w:rPr>
        <w:t>This study therefore contributes to the literature by showing that AI adoption in mega event governance depends on the interaction of technological value, organizational support, institutional safeguards, and trust formation. As a conceptual paper, however, it does not empirically test the proposed relationships, and the relative salience of these constructs may vary across event types, host governance systems, and technological applications.</w:t>
      </w:r>
    </w:p>
    <w:p w14:paraId="7BD69BF7" w14:textId="77777777" w:rsidR="005217FC" w:rsidRPr="0018500E" w:rsidRDefault="005217FC" w:rsidP="0018500E">
      <w:pPr>
        <w:spacing w:before="100" w:beforeAutospacing="1" w:after="100" w:afterAutospacing="1" w:line="480" w:lineRule="auto"/>
        <w:ind w:firstLine="720"/>
        <w:rPr>
          <w:rFonts w:ascii="Times New Roman" w:eastAsia="Times New Roman" w:hAnsi="Times New Roman" w:cs="Times New Roman"/>
          <w:color w:val="000000"/>
          <w:kern w:val="0"/>
          <w14:ligatures w14:val="none"/>
        </w:rPr>
      </w:pPr>
      <w:r w:rsidRPr="0018500E">
        <w:rPr>
          <w:rFonts w:ascii="Times New Roman" w:hAnsi="Times New Roman" w:cs="Times New Roman"/>
        </w:rPr>
        <w:t>Future research should empirically examine the framework in different mega event contexts, compare how AI is governed across event types, and investigate the ethical and societal implications of surveillance, data governance, and accountability in large-scale event environments. As mega events continue to evolve within increasingly digital governance ecosystems, the development of trustworthy, transparent, and well-governed AI systems will remain essential to safe, efficient, and legitimate event management.</w:t>
      </w:r>
    </w:p>
    <w:p w14:paraId="39862B4F" w14:textId="68B54BE8" w:rsidR="004A6960" w:rsidRDefault="004A6960" w:rsidP="0004153D">
      <w:pPr>
        <w:rPr>
          <w:rFonts w:ascii="Times New Roman" w:eastAsia="Times New Roman" w:hAnsi="Times New Roman" w:cs="Times New Roman"/>
          <w:b/>
          <w:bCs/>
          <w:color w:val="000000"/>
          <w:kern w:val="36"/>
          <w:sz w:val="48"/>
          <w:szCs w:val="48"/>
          <w14:ligatures w14:val="none"/>
        </w:rPr>
      </w:pPr>
    </w:p>
    <w:p w14:paraId="73588BF1" w14:textId="0B131492" w:rsidR="00401814" w:rsidRDefault="00401814" w:rsidP="003C6202">
      <w:pPr>
        <w:spacing w:after="240"/>
        <w:jc w:val="center"/>
      </w:pPr>
      <w:r>
        <w:rPr>
          <w:rFonts w:ascii="Times New Roman" w:eastAsia="Times New Roman" w:hAnsi="Times New Roman"/>
          <w:b/>
        </w:rPr>
        <w:lastRenderedPageBreak/>
        <w:t>References</w:t>
      </w:r>
    </w:p>
    <w:p w14:paraId="26FD97E2" w14:textId="77777777" w:rsidR="00401814" w:rsidRDefault="00401814" w:rsidP="00401814">
      <w:pPr>
        <w:spacing w:after="0" w:line="480" w:lineRule="auto"/>
        <w:ind w:hanging="720"/>
      </w:pPr>
      <w:r>
        <w:rPr>
          <w:rFonts w:ascii="Times New Roman" w:eastAsia="Times New Roman" w:hAnsi="Times New Roman"/>
        </w:rPr>
        <w:t xml:space="preserve">Ben Salem, T., &amp; </w:t>
      </w:r>
      <w:proofErr w:type="spellStart"/>
      <w:r>
        <w:rPr>
          <w:rFonts w:ascii="Times New Roman" w:eastAsia="Times New Roman" w:hAnsi="Times New Roman"/>
        </w:rPr>
        <w:t>Ishtiwi</w:t>
      </w:r>
      <w:proofErr w:type="spellEnd"/>
      <w:r>
        <w:rPr>
          <w:rFonts w:ascii="Times New Roman" w:eastAsia="Times New Roman" w:hAnsi="Times New Roman"/>
        </w:rPr>
        <w:t xml:space="preserve">, I. S. (2025). World Cup 2026 and artificial intelligence: How algorithms are reshaping public discussions on football across social media. </w:t>
      </w:r>
      <w:r>
        <w:rPr>
          <w:rFonts w:ascii="Times New Roman" w:eastAsia="Times New Roman" w:hAnsi="Times New Roman"/>
          <w:i/>
        </w:rPr>
        <w:t>Sport System Journal, 12</w:t>
      </w:r>
      <w:r>
        <w:rPr>
          <w:rFonts w:ascii="Times New Roman" w:eastAsia="Times New Roman" w:hAnsi="Times New Roman"/>
        </w:rPr>
        <w:t xml:space="preserve">(2), 717–728. </w:t>
      </w:r>
    </w:p>
    <w:p w14:paraId="69B89230" w14:textId="77777777" w:rsidR="00401814" w:rsidRDefault="00401814" w:rsidP="00401814">
      <w:pPr>
        <w:spacing w:after="0" w:line="480" w:lineRule="auto"/>
        <w:ind w:hanging="720"/>
      </w:pPr>
      <w:r>
        <w:rPr>
          <w:rFonts w:ascii="Times New Roman" w:eastAsia="Times New Roman" w:hAnsi="Times New Roman"/>
        </w:rPr>
        <w:t xml:space="preserve">Flyvbjerg, B. (2014). What you should know about megaprojects and why: An overview. </w:t>
      </w:r>
      <w:r>
        <w:rPr>
          <w:rFonts w:ascii="Times New Roman" w:eastAsia="Times New Roman" w:hAnsi="Times New Roman"/>
          <w:i/>
        </w:rPr>
        <w:t>Project Management Journal, 45</w:t>
      </w:r>
      <w:r>
        <w:rPr>
          <w:rFonts w:ascii="Times New Roman" w:eastAsia="Times New Roman" w:hAnsi="Times New Roman"/>
        </w:rPr>
        <w:t>(2), 6–17.</w:t>
      </w:r>
    </w:p>
    <w:p w14:paraId="68CD3A84" w14:textId="77777777" w:rsidR="00401814" w:rsidRDefault="00401814" w:rsidP="00401814">
      <w:pPr>
        <w:spacing w:after="0" w:line="480" w:lineRule="auto"/>
        <w:ind w:hanging="720"/>
      </w:pPr>
      <w:r>
        <w:rPr>
          <w:rFonts w:ascii="Times New Roman" w:eastAsia="Times New Roman" w:hAnsi="Times New Roman"/>
        </w:rPr>
        <w:t xml:space="preserve">Jobin, A., Ienca, M., &amp; </w:t>
      </w:r>
      <w:proofErr w:type="spellStart"/>
      <w:r>
        <w:rPr>
          <w:rFonts w:ascii="Times New Roman" w:eastAsia="Times New Roman" w:hAnsi="Times New Roman"/>
        </w:rPr>
        <w:t>Vayena</w:t>
      </w:r>
      <w:proofErr w:type="spellEnd"/>
      <w:r>
        <w:rPr>
          <w:rFonts w:ascii="Times New Roman" w:eastAsia="Times New Roman" w:hAnsi="Times New Roman"/>
        </w:rPr>
        <w:t xml:space="preserve">, E. (2019). The global landscape of AI ethics guidelines. </w:t>
      </w:r>
      <w:r>
        <w:rPr>
          <w:rFonts w:ascii="Times New Roman" w:eastAsia="Times New Roman" w:hAnsi="Times New Roman"/>
          <w:i/>
        </w:rPr>
        <w:t>Nature Machine Intelligence, 1</w:t>
      </w:r>
      <w:r>
        <w:rPr>
          <w:rFonts w:ascii="Times New Roman" w:eastAsia="Times New Roman" w:hAnsi="Times New Roman"/>
        </w:rPr>
        <w:t>(9), 389–399.</w:t>
      </w:r>
    </w:p>
    <w:p w14:paraId="244AB631" w14:textId="77777777" w:rsidR="00401814" w:rsidRDefault="00401814" w:rsidP="00401814">
      <w:pPr>
        <w:spacing w:after="0" w:line="480" w:lineRule="auto"/>
        <w:ind w:hanging="720"/>
      </w:pPr>
      <w:r>
        <w:rPr>
          <w:rFonts w:ascii="Times New Roman" w:eastAsia="Times New Roman" w:hAnsi="Times New Roman"/>
        </w:rPr>
        <w:t xml:space="preserve">Kim, H. W., &amp; </w:t>
      </w:r>
      <w:proofErr w:type="spellStart"/>
      <w:r>
        <w:rPr>
          <w:rFonts w:ascii="Times New Roman" w:eastAsia="Times New Roman" w:hAnsi="Times New Roman"/>
        </w:rPr>
        <w:t>Kankanhalli</w:t>
      </w:r>
      <w:proofErr w:type="spellEnd"/>
      <w:r>
        <w:rPr>
          <w:rFonts w:ascii="Times New Roman" w:eastAsia="Times New Roman" w:hAnsi="Times New Roman"/>
        </w:rPr>
        <w:t xml:space="preserve">, A. (2009). Investigating user resistance to information systems implementation: A status quo bias perspective. </w:t>
      </w:r>
      <w:r>
        <w:rPr>
          <w:rFonts w:ascii="Times New Roman" w:eastAsia="Times New Roman" w:hAnsi="Times New Roman"/>
          <w:i/>
        </w:rPr>
        <w:t>MIS Quarterly, 33</w:t>
      </w:r>
      <w:r>
        <w:rPr>
          <w:rFonts w:ascii="Times New Roman" w:eastAsia="Times New Roman" w:hAnsi="Times New Roman"/>
        </w:rPr>
        <w:t>(3), 567–582.</w:t>
      </w:r>
    </w:p>
    <w:p w14:paraId="613C4047" w14:textId="77777777" w:rsidR="00401814" w:rsidRDefault="00401814" w:rsidP="00401814">
      <w:pPr>
        <w:spacing w:after="0" w:line="480" w:lineRule="auto"/>
        <w:ind w:hanging="720"/>
      </w:pPr>
      <w:r>
        <w:rPr>
          <w:rFonts w:ascii="Times New Roman" w:eastAsia="Times New Roman" w:hAnsi="Times New Roman"/>
        </w:rPr>
        <w:t xml:space="preserve">Kroll, J. A., Huey, J., Barocas, S., Felten, E. W., </w:t>
      </w:r>
      <w:proofErr w:type="spellStart"/>
      <w:r>
        <w:rPr>
          <w:rFonts w:ascii="Times New Roman" w:eastAsia="Times New Roman" w:hAnsi="Times New Roman"/>
        </w:rPr>
        <w:t>Reidenberg</w:t>
      </w:r>
      <w:proofErr w:type="spellEnd"/>
      <w:r>
        <w:rPr>
          <w:rFonts w:ascii="Times New Roman" w:eastAsia="Times New Roman" w:hAnsi="Times New Roman"/>
        </w:rPr>
        <w:t xml:space="preserve">, J. R., Robinson, D. G., &amp; Yu, H. (2017). Accountable algorithms. </w:t>
      </w:r>
      <w:r>
        <w:rPr>
          <w:rFonts w:ascii="Times New Roman" w:eastAsia="Times New Roman" w:hAnsi="Times New Roman"/>
          <w:i/>
        </w:rPr>
        <w:t>University of Pennsylvania Law Review, 165</w:t>
      </w:r>
      <w:r>
        <w:rPr>
          <w:rFonts w:ascii="Times New Roman" w:eastAsia="Times New Roman" w:hAnsi="Times New Roman"/>
        </w:rPr>
        <w:t>, 633–705.</w:t>
      </w:r>
    </w:p>
    <w:p w14:paraId="5F7AD2C3" w14:textId="77777777" w:rsidR="00401814" w:rsidRDefault="00401814" w:rsidP="00401814">
      <w:pPr>
        <w:spacing w:after="0" w:line="480" w:lineRule="auto"/>
        <w:ind w:hanging="720"/>
      </w:pPr>
      <w:r>
        <w:rPr>
          <w:rFonts w:ascii="Times New Roman" w:eastAsia="Times New Roman" w:hAnsi="Times New Roman"/>
        </w:rPr>
        <w:t xml:space="preserve">Kumar, D., &amp; </w:t>
      </w:r>
      <w:proofErr w:type="spellStart"/>
      <w:r>
        <w:rPr>
          <w:rFonts w:ascii="Times New Roman" w:eastAsia="Times New Roman" w:hAnsi="Times New Roman"/>
        </w:rPr>
        <w:t>Ratten</w:t>
      </w:r>
      <w:proofErr w:type="spellEnd"/>
      <w:r>
        <w:rPr>
          <w:rFonts w:ascii="Times New Roman" w:eastAsia="Times New Roman" w:hAnsi="Times New Roman"/>
        </w:rPr>
        <w:t xml:space="preserve">, V. (2026). Artificial intelligence in event management: A systematic literature review. </w:t>
      </w:r>
      <w:r>
        <w:rPr>
          <w:rFonts w:ascii="Times New Roman" w:eastAsia="Times New Roman" w:hAnsi="Times New Roman"/>
          <w:i/>
        </w:rPr>
        <w:t>Event Management, 30</w:t>
      </w:r>
      <w:r>
        <w:rPr>
          <w:rFonts w:ascii="Times New Roman" w:eastAsia="Times New Roman" w:hAnsi="Times New Roman"/>
        </w:rPr>
        <w:t>(1), 17–33. https://doi.org/10.3727/152599525X17483017436968</w:t>
      </w:r>
    </w:p>
    <w:p w14:paraId="05F45D0F" w14:textId="77777777" w:rsidR="00401814" w:rsidRDefault="00401814" w:rsidP="00401814">
      <w:pPr>
        <w:spacing w:after="0" w:line="480" w:lineRule="auto"/>
        <w:ind w:hanging="720"/>
      </w:pPr>
      <w:r>
        <w:rPr>
          <w:rFonts w:ascii="Times New Roman" w:eastAsia="Times New Roman" w:hAnsi="Times New Roman"/>
        </w:rPr>
        <w:t xml:space="preserve">Lee, J. D., &amp; See, K. A. (2004). Trust in automation: Designing for appropriate reliance. </w:t>
      </w:r>
      <w:r>
        <w:rPr>
          <w:rFonts w:ascii="Times New Roman" w:eastAsia="Times New Roman" w:hAnsi="Times New Roman"/>
          <w:i/>
        </w:rPr>
        <w:t>Human Factors, 46</w:t>
      </w:r>
      <w:r>
        <w:rPr>
          <w:rFonts w:ascii="Times New Roman" w:eastAsia="Times New Roman" w:hAnsi="Times New Roman"/>
        </w:rPr>
        <w:t>(1), 50–80.</w:t>
      </w:r>
    </w:p>
    <w:p w14:paraId="0AA2B03D" w14:textId="77777777" w:rsidR="00401814" w:rsidRDefault="00401814" w:rsidP="00401814">
      <w:pPr>
        <w:spacing w:after="0" w:line="480" w:lineRule="auto"/>
        <w:ind w:hanging="720"/>
      </w:pPr>
      <w:r>
        <w:rPr>
          <w:rFonts w:ascii="Times New Roman" w:eastAsia="Times New Roman" w:hAnsi="Times New Roman"/>
        </w:rPr>
        <w:t xml:space="preserve">Lundin, R. A., &amp; Söderholm, A. (1995). A theory of the temporary organization. </w:t>
      </w:r>
      <w:r>
        <w:rPr>
          <w:rFonts w:ascii="Times New Roman" w:eastAsia="Times New Roman" w:hAnsi="Times New Roman"/>
          <w:i/>
        </w:rPr>
        <w:t>Scandinavian Journal of Management, 11</w:t>
      </w:r>
      <w:r>
        <w:rPr>
          <w:rFonts w:ascii="Times New Roman" w:eastAsia="Times New Roman" w:hAnsi="Times New Roman"/>
        </w:rPr>
        <w:t>(4), 437–455.</w:t>
      </w:r>
    </w:p>
    <w:p w14:paraId="1E4FD8F2" w14:textId="77777777" w:rsidR="00401814" w:rsidRDefault="00401814" w:rsidP="00401814">
      <w:pPr>
        <w:spacing w:after="0" w:line="480" w:lineRule="auto"/>
        <w:ind w:hanging="720"/>
      </w:pPr>
      <w:r>
        <w:rPr>
          <w:rFonts w:ascii="Times New Roman" w:eastAsia="Times New Roman" w:hAnsi="Times New Roman"/>
        </w:rPr>
        <w:t xml:space="preserve">Marocco, S., Barbieri, B., &amp; Talamo, A. (2024). Exploring facilitators and barriers to managers’ adoption of AI-based systems in decision making: A systematic review. </w:t>
      </w:r>
      <w:r>
        <w:rPr>
          <w:rFonts w:ascii="Times New Roman" w:eastAsia="Times New Roman" w:hAnsi="Times New Roman"/>
          <w:i/>
        </w:rPr>
        <w:t>AI, 5</w:t>
      </w:r>
      <w:r>
        <w:rPr>
          <w:rFonts w:ascii="Times New Roman" w:eastAsia="Times New Roman" w:hAnsi="Times New Roman"/>
        </w:rPr>
        <w:t>(4), 2538–2567.</w:t>
      </w:r>
    </w:p>
    <w:p w14:paraId="78428C02" w14:textId="77777777" w:rsidR="00401814" w:rsidRDefault="00401814" w:rsidP="00401814">
      <w:pPr>
        <w:spacing w:after="0" w:line="480" w:lineRule="auto"/>
        <w:ind w:hanging="720"/>
      </w:pPr>
      <w:r>
        <w:rPr>
          <w:rFonts w:ascii="Times New Roman" w:eastAsia="Times New Roman" w:hAnsi="Times New Roman"/>
        </w:rPr>
        <w:t xml:space="preserve">Mayer, R. C., Davis, J. H., &amp; </w:t>
      </w:r>
      <w:proofErr w:type="spellStart"/>
      <w:r>
        <w:rPr>
          <w:rFonts w:ascii="Times New Roman" w:eastAsia="Times New Roman" w:hAnsi="Times New Roman"/>
        </w:rPr>
        <w:t>Schoorman</w:t>
      </w:r>
      <w:proofErr w:type="spellEnd"/>
      <w:r>
        <w:rPr>
          <w:rFonts w:ascii="Times New Roman" w:eastAsia="Times New Roman" w:hAnsi="Times New Roman"/>
        </w:rPr>
        <w:t xml:space="preserve">, F. D. (1995). An integrative model of organizational trust. </w:t>
      </w:r>
      <w:r>
        <w:rPr>
          <w:rFonts w:ascii="Times New Roman" w:eastAsia="Times New Roman" w:hAnsi="Times New Roman"/>
          <w:i/>
        </w:rPr>
        <w:t>Academy of Management Review, 20</w:t>
      </w:r>
      <w:r>
        <w:rPr>
          <w:rFonts w:ascii="Times New Roman" w:eastAsia="Times New Roman" w:hAnsi="Times New Roman"/>
        </w:rPr>
        <w:t>(3), 709–734.</w:t>
      </w:r>
    </w:p>
    <w:p w14:paraId="2C022F99" w14:textId="77777777" w:rsidR="00401814" w:rsidRDefault="00401814" w:rsidP="00401814">
      <w:pPr>
        <w:spacing w:after="0" w:line="480" w:lineRule="auto"/>
        <w:ind w:hanging="720"/>
      </w:pPr>
      <w:r>
        <w:rPr>
          <w:rFonts w:ascii="Times New Roman" w:eastAsia="Times New Roman" w:hAnsi="Times New Roman"/>
        </w:rPr>
        <w:lastRenderedPageBreak/>
        <w:t xml:space="preserve">Megheirkouni, M., Baxter, K., Ni, A. K., &amp; Jing, Y. (2025). Leadership-artificial intelligence interaction for sustainable mega events: Rethinking the current and future research and practices. </w:t>
      </w:r>
      <w:r>
        <w:rPr>
          <w:rFonts w:ascii="Times New Roman" w:eastAsia="Times New Roman" w:hAnsi="Times New Roman"/>
          <w:i/>
        </w:rPr>
        <w:t xml:space="preserve">Event Management. </w:t>
      </w:r>
      <w:r>
        <w:rPr>
          <w:rFonts w:ascii="Times New Roman" w:eastAsia="Times New Roman" w:hAnsi="Times New Roman"/>
        </w:rPr>
        <w:t>Advance online publication. https://doi.org/10.3727/152599525X17385344274487</w:t>
      </w:r>
    </w:p>
    <w:p w14:paraId="6AE8D89F" w14:textId="77777777" w:rsidR="00401814" w:rsidRDefault="00401814" w:rsidP="00401814">
      <w:pPr>
        <w:spacing w:after="0" w:line="480" w:lineRule="auto"/>
        <w:ind w:hanging="720"/>
      </w:pPr>
      <w:r>
        <w:rPr>
          <w:rFonts w:ascii="Times New Roman" w:eastAsia="Times New Roman" w:hAnsi="Times New Roman"/>
        </w:rPr>
        <w:t xml:space="preserve">Mittelstadt, B. (2019). Principles alone cannot guarantee ethical AI. </w:t>
      </w:r>
      <w:r>
        <w:rPr>
          <w:rFonts w:ascii="Times New Roman" w:eastAsia="Times New Roman" w:hAnsi="Times New Roman"/>
          <w:i/>
        </w:rPr>
        <w:t>Nature Machine Intelligence, 1</w:t>
      </w:r>
      <w:r>
        <w:rPr>
          <w:rFonts w:ascii="Times New Roman" w:eastAsia="Times New Roman" w:hAnsi="Times New Roman"/>
        </w:rPr>
        <w:t>(11), 501–507.</w:t>
      </w:r>
    </w:p>
    <w:p w14:paraId="01CB3604" w14:textId="77777777" w:rsidR="00401814" w:rsidRDefault="00401814" w:rsidP="00401814">
      <w:pPr>
        <w:spacing w:after="0" w:line="480" w:lineRule="auto"/>
        <w:ind w:hanging="720"/>
      </w:pPr>
      <w:r>
        <w:rPr>
          <w:rFonts w:ascii="Times New Roman" w:eastAsia="Times New Roman" w:hAnsi="Times New Roman"/>
        </w:rPr>
        <w:t xml:space="preserve">Müller, M. (2015). The mega-event syndrome: Why so much goes wrong in mega-event planning and what to do about it. </w:t>
      </w:r>
      <w:r>
        <w:rPr>
          <w:rFonts w:ascii="Times New Roman" w:eastAsia="Times New Roman" w:hAnsi="Times New Roman"/>
          <w:i/>
        </w:rPr>
        <w:t>Journal of the American Planning Association, 81</w:t>
      </w:r>
      <w:r>
        <w:rPr>
          <w:rFonts w:ascii="Times New Roman" w:eastAsia="Times New Roman" w:hAnsi="Times New Roman"/>
        </w:rPr>
        <w:t>(1), 6–17.</w:t>
      </w:r>
    </w:p>
    <w:p w14:paraId="6BE3DA4B" w14:textId="77777777" w:rsidR="00401814" w:rsidRDefault="00401814" w:rsidP="00401814">
      <w:pPr>
        <w:spacing w:after="0" w:line="480" w:lineRule="auto"/>
        <w:ind w:hanging="720"/>
      </w:pPr>
      <w:r>
        <w:rPr>
          <w:rFonts w:ascii="Times New Roman" w:eastAsia="Times New Roman" w:hAnsi="Times New Roman"/>
        </w:rPr>
        <w:t xml:space="preserve">Neuhofer, B., </w:t>
      </w:r>
      <w:proofErr w:type="spellStart"/>
      <w:r>
        <w:rPr>
          <w:rFonts w:ascii="Times New Roman" w:eastAsia="Times New Roman" w:hAnsi="Times New Roman"/>
        </w:rPr>
        <w:t>Buhalis</w:t>
      </w:r>
      <w:proofErr w:type="spellEnd"/>
      <w:r>
        <w:rPr>
          <w:rFonts w:ascii="Times New Roman" w:eastAsia="Times New Roman" w:hAnsi="Times New Roman"/>
        </w:rPr>
        <w:t xml:space="preserve">, D., &amp; </w:t>
      </w:r>
      <w:proofErr w:type="spellStart"/>
      <w:r>
        <w:rPr>
          <w:rFonts w:ascii="Times New Roman" w:eastAsia="Times New Roman" w:hAnsi="Times New Roman"/>
        </w:rPr>
        <w:t>Ladkin</w:t>
      </w:r>
      <w:proofErr w:type="spellEnd"/>
      <w:r>
        <w:rPr>
          <w:rFonts w:ascii="Times New Roman" w:eastAsia="Times New Roman" w:hAnsi="Times New Roman"/>
        </w:rPr>
        <w:t xml:space="preserve">, A. (2015). Smart technologies for personalized experiences: A case study in the hospitality domain. </w:t>
      </w:r>
      <w:r>
        <w:rPr>
          <w:rFonts w:ascii="Times New Roman" w:eastAsia="Times New Roman" w:hAnsi="Times New Roman"/>
          <w:i/>
        </w:rPr>
        <w:t>Electronic Markets, 25</w:t>
      </w:r>
      <w:r>
        <w:rPr>
          <w:rFonts w:ascii="Times New Roman" w:eastAsia="Times New Roman" w:hAnsi="Times New Roman"/>
        </w:rPr>
        <w:t>(3), 243–254. https://doi.org/10.1007/s12525-015-0182-1</w:t>
      </w:r>
    </w:p>
    <w:p w14:paraId="1F3A5AD9" w14:textId="77777777" w:rsidR="00401814" w:rsidRDefault="00401814" w:rsidP="00401814">
      <w:pPr>
        <w:spacing w:after="0" w:line="480" w:lineRule="auto"/>
        <w:ind w:hanging="720"/>
      </w:pPr>
      <w:r>
        <w:rPr>
          <w:rFonts w:ascii="Times New Roman" w:eastAsia="Times New Roman" w:hAnsi="Times New Roman"/>
        </w:rPr>
        <w:t xml:space="preserve">Parasuraman, R., &amp; Riley, V. (1997). Humans and automation: Use, misuse, disuse, abuse. </w:t>
      </w:r>
      <w:r>
        <w:rPr>
          <w:rFonts w:ascii="Times New Roman" w:eastAsia="Times New Roman" w:hAnsi="Times New Roman"/>
          <w:i/>
        </w:rPr>
        <w:t>Human Factors, 39</w:t>
      </w:r>
      <w:r>
        <w:rPr>
          <w:rFonts w:ascii="Times New Roman" w:eastAsia="Times New Roman" w:hAnsi="Times New Roman"/>
        </w:rPr>
        <w:t>(2), 230–253.</w:t>
      </w:r>
    </w:p>
    <w:p w14:paraId="1CBBFAF2" w14:textId="77777777" w:rsidR="00401814" w:rsidRDefault="00401814" w:rsidP="00401814">
      <w:pPr>
        <w:spacing w:after="0" w:line="480" w:lineRule="auto"/>
        <w:ind w:hanging="720"/>
      </w:pPr>
      <w:r>
        <w:rPr>
          <w:rFonts w:ascii="Times New Roman" w:eastAsia="Times New Roman" w:hAnsi="Times New Roman"/>
        </w:rPr>
        <w:t>Roche, M. (2000). Mega-events and modernity: Olympics and expos in the growth of global culture. Routledge.</w:t>
      </w:r>
    </w:p>
    <w:p w14:paraId="7296CDA8" w14:textId="77777777" w:rsidR="00401814" w:rsidRDefault="00401814" w:rsidP="00401814">
      <w:pPr>
        <w:spacing w:after="0" w:line="480" w:lineRule="auto"/>
        <w:ind w:hanging="720"/>
      </w:pPr>
      <w:r>
        <w:rPr>
          <w:rFonts w:ascii="Times New Roman" w:eastAsia="Times New Roman" w:hAnsi="Times New Roman"/>
        </w:rPr>
        <w:t xml:space="preserve">Schoorman, F. D., Mayer, R. C., &amp; Davis, J. H. (2007). An integrative model of organizational trust: Past, present, and future. </w:t>
      </w:r>
      <w:r>
        <w:rPr>
          <w:rFonts w:ascii="Times New Roman" w:eastAsia="Times New Roman" w:hAnsi="Times New Roman"/>
          <w:i/>
        </w:rPr>
        <w:t>Academy of Management Review, 32</w:t>
      </w:r>
      <w:r>
        <w:rPr>
          <w:rFonts w:ascii="Times New Roman" w:eastAsia="Times New Roman" w:hAnsi="Times New Roman"/>
        </w:rPr>
        <w:t>(2), 344–354.</w:t>
      </w:r>
    </w:p>
    <w:p w14:paraId="1E5CABA1" w14:textId="77777777" w:rsidR="00401814" w:rsidRDefault="00401814" w:rsidP="00401814">
      <w:pPr>
        <w:spacing w:after="0" w:line="480" w:lineRule="auto"/>
        <w:ind w:hanging="720"/>
      </w:pPr>
      <w:r>
        <w:rPr>
          <w:rFonts w:ascii="Times New Roman" w:eastAsia="Times New Roman" w:hAnsi="Times New Roman"/>
        </w:rPr>
        <w:t xml:space="preserve">Slovic, P. (1987). Perceived risk. </w:t>
      </w:r>
      <w:r>
        <w:rPr>
          <w:rFonts w:ascii="Times New Roman" w:eastAsia="Times New Roman" w:hAnsi="Times New Roman"/>
          <w:i/>
        </w:rPr>
        <w:t>Science, 236</w:t>
      </w:r>
      <w:r>
        <w:rPr>
          <w:rFonts w:ascii="Times New Roman" w:eastAsia="Times New Roman" w:hAnsi="Times New Roman"/>
        </w:rPr>
        <w:t>(4799), 280–285.</w:t>
      </w:r>
    </w:p>
    <w:p w14:paraId="6431143B" w14:textId="77777777" w:rsidR="00401814" w:rsidRDefault="00401814" w:rsidP="00401814">
      <w:pPr>
        <w:spacing w:after="0" w:line="480" w:lineRule="auto"/>
        <w:ind w:hanging="720"/>
      </w:pPr>
      <w:r>
        <w:rPr>
          <w:rFonts w:ascii="Times New Roman" w:eastAsia="Times New Roman" w:hAnsi="Times New Roman"/>
        </w:rPr>
        <w:t xml:space="preserve">Suchman, M. C. (1995). Managing legitimacy: Strategic and institutional approaches. </w:t>
      </w:r>
      <w:r>
        <w:rPr>
          <w:rFonts w:ascii="Times New Roman" w:eastAsia="Times New Roman" w:hAnsi="Times New Roman"/>
          <w:i/>
        </w:rPr>
        <w:t>Academy of Management Review, 20</w:t>
      </w:r>
      <w:r>
        <w:rPr>
          <w:rFonts w:ascii="Times New Roman" w:eastAsia="Times New Roman" w:hAnsi="Times New Roman"/>
        </w:rPr>
        <w:t>(3), 571–610.</w:t>
      </w:r>
    </w:p>
    <w:p w14:paraId="49E205FB" w14:textId="77777777" w:rsidR="00401814" w:rsidRDefault="00401814" w:rsidP="00401814">
      <w:pPr>
        <w:spacing w:after="0" w:line="480" w:lineRule="auto"/>
        <w:ind w:hanging="720"/>
      </w:pPr>
      <w:r>
        <w:rPr>
          <w:rFonts w:ascii="Times New Roman" w:eastAsia="Times New Roman" w:hAnsi="Times New Roman"/>
        </w:rPr>
        <w:t xml:space="preserve">Venkatesh, V., Morris, M. G., Davis, G. B., &amp; Davis, F. D. (2003). User acceptance of information technology: Toward a unified view. </w:t>
      </w:r>
      <w:r>
        <w:rPr>
          <w:rFonts w:ascii="Times New Roman" w:eastAsia="Times New Roman" w:hAnsi="Times New Roman"/>
          <w:i/>
        </w:rPr>
        <w:t>MIS Quarterly, 27</w:t>
      </w:r>
      <w:r>
        <w:rPr>
          <w:rFonts w:ascii="Times New Roman" w:eastAsia="Times New Roman" w:hAnsi="Times New Roman"/>
        </w:rPr>
        <w:t>(3), 425–478.</w:t>
      </w:r>
    </w:p>
    <w:p w14:paraId="7F0C5342" w14:textId="77777777" w:rsidR="00401814" w:rsidRDefault="00401814" w:rsidP="00401814">
      <w:pPr>
        <w:spacing w:after="0" w:line="480" w:lineRule="auto"/>
        <w:ind w:hanging="720"/>
      </w:pPr>
      <w:r>
        <w:rPr>
          <w:rFonts w:ascii="Times New Roman" w:eastAsia="Times New Roman" w:hAnsi="Times New Roman"/>
        </w:rPr>
        <w:lastRenderedPageBreak/>
        <w:t xml:space="preserve">Venkatesh, V., Thong, J. Y. L., &amp; Xu, X. (2012). Consumer acceptance and use of information technology: Extending the unified theory of acceptance and use of technology. </w:t>
      </w:r>
      <w:r>
        <w:rPr>
          <w:rFonts w:ascii="Times New Roman" w:eastAsia="Times New Roman" w:hAnsi="Times New Roman"/>
          <w:i/>
        </w:rPr>
        <w:t>MIS Quarterly, 36</w:t>
      </w:r>
      <w:r>
        <w:rPr>
          <w:rFonts w:ascii="Times New Roman" w:eastAsia="Times New Roman" w:hAnsi="Times New Roman"/>
        </w:rPr>
        <w:t>(1), 157–178.</w:t>
      </w:r>
    </w:p>
    <w:p w14:paraId="16E30C75" w14:textId="77777777" w:rsidR="00401814" w:rsidRDefault="00401814" w:rsidP="00401814">
      <w:pPr>
        <w:spacing w:after="0" w:line="480" w:lineRule="auto"/>
        <w:ind w:hanging="720"/>
      </w:pPr>
      <w:r>
        <w:rPr>
          <w:rFonts w:ascii="Times New Roman" w:eastAsia="Times New Roman" w:hAnsi="Times New Roman"/>
        </w:rPr>
        <w:t xml:space="preserve">Wirtz, B. W., </w:t>
      </w:r>
      <w:proofErr w:type="spellStart"/>
      <w:r>
        <w:rPr>
          <w:rFonts w:ascii="Times New Roman" w:eastAsia="Times New Roman" w:hAnsi="Times New Roman"/>
        </w:rPr>
        <w:t>Weyerer</w:t>
      </w:r>
      <w:proofErr w:type="spellEnd"/>
      <w:r>
        <w:rPr>
          <w:rFonts w:ascii="Times New Roman" w:eastAsia="Times New Roman" w:hAnsi="Times New Roman"/>
        </w:rPr>
        <w:t xml:space="preserve">, J. C., &amp; Sturm, B. J. (2020). The dark sides of artificial intelligence: An integrated AI governance framework for public administration. </w:t>
      </w:r>
      <w:r>
        <w:rPr>
          <w:rFonts w:ascii="Times New Roman" w:eastAsia="Times New Roman" w:hAnsi="Times New Roman"/>
          <w:i/>
        </w:rPr>
        <w:t>International Journal of Public Administration, 43</w:t>
      </w:r>
      <w:r>
        <w:rPr>
          <w:rFonts w:ascii="Times New Roman" w:eastAsia="Times New Roman" w:hAnsi="Times New Roman"/>
        </w:rPr>
        <w:t>(9), 818–829. https://doi.org/10.1080/01900692.2020.1749851</w:t>
      </w:r>
    </w:p>
    <w:p w14:paraId="1F619330" w14:textId="77777777" w:rsidR="00401814" w:rsidRDefault="00401814" w:rsidP="00401814">
      <w:pPr>
        <w:spacing w:after="0" w:line="480" w:lineRule="auto"/>
        <w:ind w:hanging="720"/>
      </w:pPr>
      <w:r>
        <w:rPr>
          <w:rFonts w:ascii="Times New Roman" w:eastAsia="Times New Roman" w:hAnsi="Times New Roman"/>
        </w:rPr>
        <w:t xml:space="preserve">Zhou, J. (2023). Systematic review for knowledge transfer at international sport mega-events. </w:t>
      </w:r>
      <w:r>
        <w:rPr>
          <w:rFonts w:ascii="Times New Roman" w:eastAsia="Times New Roman" w:hAnsi="Times New Roman"/>
          <w:i/>
        </w:rPr>
        <w:t>Sustainability, 15</w:t>
      </w:r>
      <w:r>
        <w:rPr>
          <w:rFonts w:ascii="Times New Roman" w:eastAsia="Times New Roman" w:hAnsi="Times New Roman"/>
        </w:rPr>
        <w:t>(3), 4902.</w:t>
      </w:r>
    </w:p>
    <w:p w14:paraId="2F232BEA" w14:textId="77777777" w:rsidR="00401814" w:rsidRDefault="00401814" w:rsidP="0004153D">
      <w:pPr>
        <w:rPr>
          <w:rtl/>
        </w:rPr>
      </w:pPr>
    </w:p>
    <w:sectPr w:rsidR="00401814" w:rsidSect="00B41301">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0CD5D" w14:textId="77777777" w:rsidR="004D2B59" w:rsidRDefault="004D2B59" w:rsidP="00B41301">
      <w:pPr>
        <w:spacing w:after="0" w:line="240" w:lineRule="auto"/>
      </w:pPr>
      <w:r>
        <w:separator/>
      </w:r>
    </w:p>
  </w:endnote>
  <w:endnote w:type="continuationSeparator" w:id="0">
    <w:p w14:paraId="48784A74" w14:textId="77777777" w:rsidR="004D2B59" w:rsidRDefault="004D2B59" w:rsidP="00B41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DF235" w14:textId="77777777" w:rsidR="004D2B59" w:rsidRDefault="004D2B59" w:rsidP="00B41301">
      <w:pPr>
        <w:spacing w:after="0" w:line="240" w:lineRule="auto"/>
      </w:pPr>
      <w:r>
        <w:separator/>
      </w:r>
    </w:p>
  </w:footnote>
  <w:footnote w:type="continuationSeparator" w:id="0">
    <w:p w14:paraId="5186790B" w14:textId="77777777" w:rsidR="004D2B59" w:rsidRDefault="004D2B59" w:rsidP="00B413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4843545"/>
      <w:docPartObj>
        <w:docPartGallery w:val="Page Numbers (Top of Page)"/>
        <w:docPartUnique/>
      </w:docPartObj>
    </w:sdtPr>
    <w:sdtContent>
      <w:p w14:paraId="06E267F8" w14:textId="4BA7C605" w:rsidR="00B41301" w:rsidRDefault="00B41301" w:rsidP="004125A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BDE7EF" w14:textId="77777777" w:rsidR="00B41301" w:rsidRDefault="00B41301" w:rsidP="00B4130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856722"/>
      <w:docPartObj>
        <w:docPartGallery w:val="Page Numbers (Top of Page)"/>
        <w:docPartUnique/>
      </w:docPartObj>
    </w:sdtPr>
    <w:sdtContent>
      <w:p w14:paraId="355317D8" w14:textId="6A7BDFE5" w:rsidR="00B41301" w:rsidRDefault="00B41301" w:rsidP="004125A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A1A45B" w14:textId="7ED1FD8C" w:rsidR="00B41301" w:rsidRPr="00B41301" w:rsidRDefault="00B41301" w:rsidP="00B41301">
    <w:pPr>
      <w:pStyle w:val="Header"/>
      <w:ind w:right="360"/>
      <w:rPr>
        <w:b/>
        <w:bCs/>
      </w:rPr>
    </w:pPr>
    <w:r w:rsidRPr="00B41301">
      <w:rPr>
        <w:b/>
        <w:bCs/>
      </w:rPr>
      <w:t>Can We Plan Mega Events Using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B1ACA"/>
    <w:multiLevelType w:val="multilevel"/>
    <w:tmpl w:val="F312B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99267B"/>
    <w:multiLevelType w:val="multilevel"/>
    <w:tmpl w:val="F1084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904059">
    <w:abstractNumId w:val="1"/>
  </w:num>
  <w:num w:numId="2" w16cid:durableId="1460108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062"/>
    <w:rsid w:val="0004153D"/>
    <w:rsid w:val="000E4F08"/>
    <w:rsid w:val="00126E71"/>
    <w:rsid w:val="00132062"/>
    <w:rsid w:val="0018500E"/>
    <w:rsid w:val="00193960"/>
    <w:rsid w:val="002145FD"/>
    <w:rsid w:val="00214FE2"/>
    <w:rsid w:val="00274065"/>
    <w:rsid w:val="00304423"/>
    <w:rsid w:val="00324C8C"/>
    <w:rsid w:val="00365E98"/>
    <w:rsid w:val="00373BE9"/>
    <w:rsid w:val="003C6202"/>
    <w:rsid w:val="00401814"/>
    <w:rsid w:val="00456197"/>
    <w:rsid w:val="004767E2"/>
    <w:rsid w:val="00485B37"/>
    <w:rsid w:val="004A6960"/>
    <w:rsid w:val="004D2B59"/>
    <w:rsid w:val="005217FC"/>
    <w:rsid w:val="005949A4"/>
    <w:rsid w:val="006D7243"/>
    <w:rsid w:val="007C6F2D"/>
    <w:rsid w:val="00A03477"/>
    <w:rsid w:val="00AD552A"/>
    <w:rsid w:val="00B41301"/>
    <w:rsid w:val="00BE25FA"/>
    <w:rsid w:val="00D67933"/>
    <w:rsid w:val="00E144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22D2D"/>
  <w15:chartTrackingRefBased/>
  <w15:docId w15:val="{1391A4CC-BB09-BA49-B309-7F89E1C18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53D"/>
  </w:style>
  <w:style w:type="paragraph" w:styleId="Heading1">
    <w:name w:val="heading 1"/>
    <w:basedOn w:val="Normal"/>
    <w:next w:val="Normal"/>
    <w:link w:val="Heading1Char"/>
    <w:uiPriority w:val="9"/>
    <w:qFormat/>
    <w:rsid w:val="00132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2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2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2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2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062"/>
    <w:rPr>
      <w:rFonts w:eastAsiaTheme="majorEastAsia" w:cstheme="majorBidi"/>
      <w:color w:val="272727" w:themeColor="text1" w:themeTint="D8"/>
    </w:rPr>
  </w:style>
  <w:style w:type="paragraph" w:styleId="Title">
    <w:name w:val="Title"/>
    <w:basedOn w:val="Normal"/>
    <w:next w:val="Normal"/>
    <w:link w:val="TitleChar"/>
    <w:uiPriority w:val="10"/>
    <w:qFormat/>
    <w:rsid w:val="00132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062"/>
    <w:pPr>
      <w:spacing w:before="160"/>
      <w:jc w:val="center"/>
    </w:pPr>
    <w:rPr>
      <w:i/>
      <w:iCs/>
      <w:color w:val="404040" w:themeColor="text1" w:themeTint="BF"/>
    </w:rPr>
  </w:style>
  <w:style w:type="character" w:customStyle="1" w:styleId="QuoteChar">
    <w:name w:val="Quote Char"/>
    <w:basedOn w:val="DefaultParagraphFont"/>
    <w:link w:val="Quote"/>
    <w:uiPriority w:val="29"/>
    <w:rsid w:val="00132062"/>
    <w:rPr>
      <w:i/>
      <w:iCs/>
      <w:color w:val="404040" w:themeColor="text1" w:themeTint="BF"/>
    </w:rPr>
  </w:style>
  <w:style w:type="paragraph" w:styleId="ListParagraph">
    <w:name w:val="List Paragraph"/>
    <w:basedOn w:val="Normal"/>
    <w:uiPriority w:val="34"/>
    <w:qFormat/>
    <w:rsid w:val="00132062"/>
    <w:pPr>
      <w:ind w:left="720"/>
      <w:contextualSpacing/>
    </w:pPr>
  </w:style>
  <w:style w:type="character" w:styleId="IntenseEmphasis">
    <w:name w:val="Intense Emphasis"/>
    <w:basedOn w:val="DefaultParagraphFont"/>
    <w:uiPriority w:val="21"/>
    <w:qFormat/>
    <w:rsid w:val="00132062"/>
    <w:rPr>
      <w:i/>
      <w:iCs/>
      <w:color w:val="0F4761" w:themeColor="accent1" w:themeShade="BF"/>
    </w:rPr>
  </w:style>
  <w:style w:type="paragraph" w:styleId="IntenseQuote">
    <w:name w:val="Intense Quote"/>
    <w:basedOn w:val="Normal"/>
    <w:next w:val="Normal"/>
    <w:link w:val="IntenseQuoteChar"/>
    <w:uiPriority w:val="30"/>
    <w:qFormat/>
    <w:rsid w:val="00132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062"/>
    <w:rPr>
      <w:i/>
      <w:iCs/>
      <w:color w:val="0F4761" w:themeColor="accent1" w:themeShade="BF"/>
    </w:rPr>
  </w:style>
  <w:style w:type="character" w:styleId="IntenseReference">
    <w:name w:val="Intense Reference"/>
    <w:basedOn w:val="DefaultParagraphFont"/>
    <w:uiPriority w:val="32"/>
    <w:qFormat/>
    <w:rsid w:val="00132062"/>
    <w:rPr>
      <w:b/>
      <w:bCs/>
      <w:smallCaps/>
      <w:color w:val="0F4761" w:themeColor="accent1" w:themeShade="BF"/>
      <w:spacing w:val="5"/>
    </w:rPr>
  </w:style>
  <w:style w:type="paragraph" w:styleId="NormalWeb">
    <w:name w:val="Normal (Web)"/>
    <w:basedOn w:val="Normal"/>
    <w:uiPriority w:val="99"/>
    <w:semiHidden/>
    <w:unhideWhenUsed/>
    <w:rsid w:val="001320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65E98"/>
  </w:style>
  <w:style w:type="character" w:styleId="Strong">
    <w:name w:val="Strong"/>
    <w:basedOn w:val="DefaultParagraphFont"/>
    <w:uiPriority w:val="22"/>
    <w:qFormat/>
    <w:rsid w:val="00365E98"/>
    <w:rPr>
      <w:b/>
      <w:bCs/>
    </w:rPr>
  </w:style>
  <w:style w:type="character" w:styleId="Emphasis">
    <w:name w:val="Emphasis"/>
    <w:basedOn w:val="DefaultParagraphFont"/>
    <w:uiPriority w:val="20"/>
    <w:qFormat/>
    <w:rsid w:val="005217FC"/>
    <w:rPr>
      <w:i/>
      <w:iCs/>
    </w:rPr>
  </w:style>
  <w:style w:type="character" w:styleId="Hyperlink">
    <w:name w:val="Hyperlink"/>
    <w:basedOn w:val="DefaultParagraphFont"/>
    <w:uiPriority w:val="99"/>
    <w:unhideWhenUsed/>
    <w:rsid w:val="0004153D"/>
    <w:rPr>
      <w:color w:val="467886" w:themeColor="hyperlink"/>
      <w:u w:val="single"/>
    </w:rPr>
  </w:style>
  <w:style w:type="character" w:styleId="UnresolvedMention">
    <w:name w:val="Unresolved Mention"/>
    <w:basedOn w:val="DefaultParagraphFont"/>
    <w:uiPriority w:val="99"/>
    <w:semiHidden/>
    <w:unhideWhenUsed/>
    <w:rsid w:val="0004153D"/>
    <w:rPr>
      <w:color w:val="605E5C"/>
      <w:shd w:val="clear" w:color="auto" w:fill="E1DFDD"/>
    </w:rPr>
  </w:style>
  <w:style w:type="character" w:styleId="FollowedHyperlink">
    <w:name w:val="FollowedHyperlink"/>
    <w:basedOn w:val="DefaultParagraphFont"/>
    <w:uiPriority w:val="99"/>
    <w:semiHidden/>
    <w:unhideWhenUsed/>
    <w:rsid w:val="00485B37"/>
    <w:rPr>
      <w:color w:val="96607D" w:themeColor="followedHyperlink"/>
      <w:u w:val="single"/>
    </w:rPr>
  </w:style>
  <w:style w:type="paragraph" w:styleId="Header">
    <w:name w:val="header"/>
    <w:basedOn w:val="Normal"/>
    <w:link w:val="HeaderChar"/>
    <w:uiPriority w:val="99"/>
    <w:unhideWhenUsed/>
    <w:rsid w:val="00B413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1301"/>
  </w:style>
  <w:style w:type="paragraph" w:styleId="Footer">
    <w:name w:val="footer"/>
    <w:basedOn w:val="Normal"/>
    <w:link w:val="FooterChar"/>
    <w:uiPriority w:val="99"/>
    <w:unhideWhenUsed/>
    <w:rsid w:val="00B413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1301"/>
  </w:style>
  <w:style w:type="character" w:styleId="PageNumber">
    <w:name w:val="page number"/>
    <w:basedOn w:val="DefaultParagraphFont"/>
    <w:uiPriority w:val="99"/>
    <w:semiHidden/>
    <w:unhideWhenUsed/>
    <w:rsid w:val="00B413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6163</Words>
  <Characters>35134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2026-04-24T00:03:00Z</dcterms:created>
  <dcterms:modified xsi:type="dcterms:W3CDTF">2026-04-24T00:03:00Z</dcterms:modified>
</cp:coreProperties>
</file>