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3EA6" w14:textId="77777777" w:rsidR="007E160F" w:rsidRDefault="007E160F" w:rsidP="005621DC">
      <w:pPr>
        <w:spacing w:line="480" w:lineRule="auto"/>
        <w:rPr>
          <w:b/>
          <w:bCs/>
          <w:sz w:val="32"/>
          <w:szCs w:val="32"/>
        </w:rPr>
      </w:pPr>
    </w:p>
    <w:p w14:paraId="13302E0D" w14:textId="77777777" w:rsidR="007E160F" w:rsidRDefault="007E160F" w:rsidP="007E160F">
      <w:pPr>
        <w:spacing w:line="240" w:lineRule="auto"/>
        <w:jc w:val="center"/>
        <w:rPr>
          <w:b/>
          <w:bCs/>
          <w:sz w:val="40"/>
          <w:szCs w:val="40"/>
        </w:rPr>
      </w:pPr>
      <w:r w:rsidRPr="00170D49">
        <w:rPr>
          <w:b/>
          <w:bCs/>
          <w:sz w:val="40"/>
          <w:szCs w:val="40"/>
        </w:rPr>
        <w:t>Miami-Dade County Youth Fair Enhancement: Passport Journ</w:t>
      </w:r>
      <w:r w:rsidR="005621DC">
        <w:rPr>
          <w:b/>
          <w:bCs/>
          <w:sz w:val="40"/>
          <w:szCs w:val="40"/>
        </w:rPr>
        <w:t>e</w:t>
      </w:r>
      <w:r w:rsidRPr="00170D49">
        <w:rPr>
          <w:b/>
          <w:bCs/>
          <w:sz w:val="40"/>
          <w:szCs w:val="40"/>
        </w:rPr>
        <w:t>y</w:t>
      </w:r>
    </w:p>
    <w:p w14:paraId="3A635561" w14:textId="77777777" w:rsidR="007E160F" w:rsidRPr="00170D49" w:rsidRDefault="007E160F" w:rsidP="007E160F">
      <w:pPr>
        <w:spacing w:line="240" w:lineRule="auto"/>
        <w:jc w:val="center"/>
        <w:rPr>
          <w:b/>
          <w:bCs/>
          <w:sz w:val="40"/>
          <w:szCs w:val="40"/>
        </w:rPr>
      </w:pPr>
    </w:p>
    <w:p w14:paraId="0FCF4DF9" w14:textId="77777777" w:rsidR="007E160F" w:rsidRDefault="007E160F" w:rsidP="007E160F">
      <w:pPr>
        <w:spacing w:line="480" w:lineRule="auto"/>
        <w:jc w:val="center"/>
        <w:rPr>
          <w:b/>
          <w:bCs/>
          <w:sz w:val="32"/>
          <w:szCs w:val="32"/>
        </w:rPr>
      </w:pPr>
      <w:r>
        <w:rPr>
          <w:b/>
          <w:bCs/>
          <w:noProof/>
          <w:sz w:val="32"/>
          <w:szCs w:val="32"/>
        </w:rPr>
        <w:drawing>
          <wp:inline distT="0" distB="0" distL="0" distR="0" wp14:anchorId="4636C048" wp14:editId="3D7B777A">
            <wp:extent cx="2480945" cy="3601372"/>
            <wp:effectExtent l="0" t="0" r="0" b="0"/>
            <wp:docPr id="152231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8745" name="Picture 500288745"/>
                    <pic:cNvPicPr/>
                  </pic:nvPicPr>
                  <pic:blipFill>
                    <a:blip r:embed="rId7">
                      <a:extLst>
                        <a:ext uri="{28A0092B-C50C-407E-A947-70E740481C1C}">
                          <a14:useLocalDpi xmlns:a14="http://schemas.microsoft.com/office/drawing/2010/main" val="0"/>
                        </a:ext>
                      </a:extLst>
                    </a:blip>
                    <a:stretch>
                      <a:fillRect/>
                    </a:stretch>
                  </pic:blipFill>
                  <pic:spPr>
                    <a:xfrm>
                      <a:off x="0" y="0"/>
                      <a:ext cx="2541553" cy="3689351"/>
                    </a:xfrm>
                    <a:prstGeom prst="rect">
                      <a:avLst/>
                    </a:prstGeom>
                  </pic:spPr>
                </pic:pic>
              </a:graphicData>
            </a:graphic>
          </wp:inline>
        </w:drawing>
      </w:r>
    </w:p>
    <w:p w14:paraId="1EEEF3DE" w14:textId="77777777" w:rsidR="007E160F" w:rsidRDefault="007E160F" w:rsidP="007E160F">
      <w:pPr>
        <w:spacing w:line="480" w:lineRule="auto"/>
        <w:jc w:val="center"/>
        <w:rPr>
          <w:b/>
          <w:bCs/>
          <w:sz w:val="32"/>
          <w:szCs w:val="32"/>
        </w:rPr>
      </w:pPr>
    </w:p>
    <w:p w14:paraId="500E5E25" w14:textId="77777777" w:rsidR="007E160F" w:rsidRDefault="007E160F" w:rsidP="007E160F">
      <w:pPr>
        <w:spacing w:line="240" w:lineRule="auto"/>
        <w:jc w:val="center"/>
        <w:rPr>
          <w:b/>
          <w:bCs/>
          <w:sz w:val="32"/>
          <w:szCs w:val="32"/>
        </w:rPr>
      </w:pPr>
      <w:r>
        <w:rPr>
          <w:b/>
          <w:bCs/>
          <w:sz w:val="32"/>
          <w:szCs w:val="32"/>
        </w:rPr>
        <w:t>By: Abdulgader Turkistani &amp; Salem Alhabshi</w:t>
      </w:r>
    </w:p>
    <w:p w14:paraId="523E8AC1" w14:textId="77777777" w:rsidR="007E160F" w:rsidRDefault="007E160F" w:rsidP="007E160F">
      <w:pPr>
        <w:spacing w:line="240" w:lineRule="auto"/>
        <w:jc w:val="center"/>
        <w:rPr>
          <w:b/>
          <w:bCs/>
          <w:sz w:val="32"/>
          <w:szCs w:val="32"/>
        </w:rPr>
      </w:pPr>
      <w:r>
        <w:rPr>
          <w:b/>
          <w:bCs/>
          <w:sz w:val="32"/>
          <w:szCs w:val="32"/>
        </w:rPr>
        <w:t>Florida International University</w:t>
      </w:r>
    </w:p>
    <w:p w14:paraId="445DFBBC" w14:textId="77777777" w:rsidR="007E160F" w:rsidRDefault="007E160F" w:rsidP="007E160F">
      <w:pPr>
        <w:spacing w:line="240" w:lineRule="auto"/>
        <w:jc w:val="center"/>
        <w:rPr>
          <w:b/>
          <w:bCs/>
          <w:sz w:val="32"/>
          <w:szCs w:val="32"/>
        </w:rPr>
      </w:pPr>
      <w:r>
        <w:rPr>
          <w:b/>
          <w:bCs/>
          <w:sz w:val="32"/>
          <w:szCs w:val="32"/>
        </w:rPr>
        <w:t>Mega Event Enhancement Feasibility Study</w:t>
      </w:r>
    </w:p>
    <w:p w14:paraId="648F2B2B" w14:textId="77777777" w:rsidR="007E160F" w:rsidRDefault="007E160F" w:rsidP="007E160F">
      <w:pPr>
        <w:rPr>
          <w:b/>
          <w:bCs/>
          <w:sz w:val="32"/>
          <w:szCs w:val="32"/>
        </w:rPr>
      </w:pPr>
    </w:p>
    <w:p w14:paraId="63D85D21" w14:textId="77777777" w:rsidR="00F57AF8" w:rsidRDefault="00F57AF8" w:rsidP="007E160F">
      <w:pPr>
        <w:spacing w:line="480" w:lineRule="auto"/>
        <w:rPr>
          <w:b/>
          <w:bCs/>
          <w:sz w:val="28"/>
          <w:szCs w:val="28"/>
        </w:rPr>
      </w:pPr>
    </w:p>
    <w:p w14:paraId="63780296" w14:textId="4F3949FD" w:rsidR="007E160F" w:rsidRPr="00116F16" w:rsidRDefault="007E160F" w:rsidP="007E160F">
      <w:pPr>
        <w:spacing w:line="480" w:lineRule="auto"/>
        <w:rPr>
          <w:b/>
          <w:bCs/>
          <w:sz w:val="28"/>
          <w:szCs w:val="28"/>
        </w:rPr>
      </w:pPr>
      <w:r w:rsidRPr="00116F16">
        <w:rPr>
          <w:b/>
          <w:bCs/>
          <w:sz w:val="28"/>
          <w:szCs w:val="28"/>
        </w:rPr>
        <w:lastRenderedPageBreak/>
        <w:t>Event Overview</w:t>
      </w:r>
    </w:p>
    <w:p w14:paraId="0E0818E6"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Miami-Dade County Youth Fair (commonly referred to as The Youth Fair) is an annual, ticketed, large-scale community event held each spring at the Miami-Dade County Fair &amp; Exposition Center in Miami, Florida. The event typically operates over approximately 21 days, positioning it as one of the longest-running multi-week fairs in the region (Miami-Dade County Fair &amp; Exposition, Inc., n.d.-a). Recent direct communication with the organization confirms that the most recent fair attracted approximately 506,000 attendees, reinforcing its position as one of the largest county fairs in Florida by total attendance (L. Penaloza, personal communication, 2026).</w:t>
      </w:r>
    </w:p>
    <w:p w14:paraId="67AFF250"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primary purpose of the Youth Fair is to promote youth education, agricultural awareness, and community engagement through a structured combination of entertainment and learning-oriented programming. Core components include student competitions, agricultural and livestock exhibitions, educational displays, carnival rides, food concessions, and community showcases (Miami-Dade County Fair &amp; Exposition, Inc., n.d.-a). As a nonprofit organization operating under 501(c)(3) status, the fair emphasizes community benefit and youth development, with proceeds supporting scholarships, awards, and educational initiatives rather than private profit distribution (Internal Revenue Service [IRS], 2024).</w:t>
      </w:r>
    </w:p>
    <w:p w14:paraId="63EFE132"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 xml:space="preserve">The event serves a broad but primarily local and regional audience. Families with children represent a dominant demographic segment, attending for rides, food, and general entertainment. School-aged youth participate extensively through judged competitions, exhibitions, and structured educational programming. In 2024, organized school field trips brought more than 32,000 students to the </w:t>
      </w:r>
      <w:proofErr w:type="gramStart"/>
      <w:r w:rsidRPr="00F57AF8">
        <w:rPr>
          <w:rFonts w:ascii="Times New Roman" w:hAnsi="Times New Roman" w:cs="Times New Roman"/>
          <w:sz w:val="24"/>
          <w:szCs w:val="24"/>
        </w:rPr>
        <w:t>fair</w:t>
      </w:r>
      <w:proofErr w:type="gramEnd"/>
      <w:r w:rsidRPr="00F57AF8">
        <w:rPr>
          <w:rFonts w:ascii="Times New Roman" w:hAnsi="Times New Roman" w:cs="Times New Roman"/>
          <w:sz w:val="24"/>
          <w:szCs w:val="24"/>
        </w:rPr>
        <w:t xml:space="preserve"> during designated weekday mornings, reinforcing </w:t>
      </w:r>
      <w:r w:rsidRPr="00F57AF8">
        <w:rPr>
          <w:rFonts w:ascii="Times New Roman" w:hAnsi="Times New Roman" w:cs="Times New Roman"/>
          <w:sz w:val="24"/>
          <w:szCs w:val="24"/>
        </w:rPr>
        <w:lastRenderedPageBreak/>
        <w:t>the fair’s educational mission and strong connection with Miami-Dade County Public Schools (Community Newspapers, 2024). The organization collects demographic data including geographic origin and age spectrum of attendees, indicating an evidence-based approach to understanding audience composition (L. Penaloza, personal communication, 2026).</w:t>
      </w:r>
    </w:p>
    <w:p w14:paraId="049F17DB"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Financial Concept</w:t>
      </w:r>
    </w:p>
    <w:p w14:paraId="6662D41E"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Miami-Dade County Fair &amp; Exposition, Inc. operates as a nonprofit entity and reports financial information through publicly available IRS Form 990 filings. Historical financial data from 2019 to 2024 are summarized in Appendix A and are derived from IRS Form 990 filings (Internal Revenue Service, 2024; ProPublica, n.d.). For fiscal years 2023 and 2024, total gross revenue generated by the fair ranged between $12 million and $13 million, as confirmed by the organization’s Chief Financial Officer (L. Penaloza, personal communication, 2026).</w:t>
      </w:r>
    </w:p>
    <w:p w14:paraId="78707F80"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organization’s overall annual operating budget is estimated to range between $18 million and $20 million, reflecting total programmatic, operational, and administrative expenditures across the organization’s activities (L. Penaloza, personal communication, 2026). Public Form 990 filings indicate that expenses may exceed revenue in certain reporting years (IRS, 2024; ProPublica, n.d.). Within nonprofit event organizations, such differences may reflect timing of revenue recognition, non-cash accounting entries, capital expenditures, or reinvestment into facilities and programming. Historical filings demonstrate that the organization maintains substantial net assets, suggesting long-term financial sustainability despite year-to-year fluctuations (ProPublica, n.d.).</w:t>
      </w:r>
    </w:p>
    <w:p w14:paraId="0ED85454"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 xml:space="preserve">Revenue is primarily generated through core fair operations, including admissions, midway rides, and vendor related income, which together represent the largest share of total </w:t>
      </w:r>
      <w:r w:rsidRPr="00F57AF8">
        <w:rPr>
          <w:rFonts w:ascii="Times New Roman" w:hAnsi="Times New Roman" w:cs="Times New Roman"/>
          <w:sz w:val="24"/>
          <w:szCs w:val="24"/>
        </w:rPr>
        <w:lastRenderedPageBreak/>
        <w:t xml:space="preserve">revenue (L. Penaloza, personal communication, 2026). Public Form 990 filings show that a significant portion of expenditures is directed toward program services, meaning funds are used to operate the fair and support youth and educational activities in alignment with the organization’s nonprofit mission (Internal Revenue Service [IRS], 2024). In addition, recent capital investments, including the development of pickleball courts, indicate ongoing reinvestment in the fairgrounds to support long term facility use and organizational sustainability (L. Penaloza, personal communication, 2026). </w:t>
      </w:r>
    </w:p>
    <w:p w14:paraId="1C27D38A"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Major expense categories, as reflected in Form 990 filings, include program services, contracted services, staffing, operational costs, and administrative expenses (IRS, 2024). Large-scale fairs of this duration typically incur substantial costs related to midway contractor agreements, security, sanitation, utilities, insurance, and regulatory compliance.</w:t>
      </w:r>
    </w:p>
    <w:p w14:paraId="3EEB1160"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Market Concept</w:t>
      </w:r>
    </w:p>
    <w:p w14:paraId="5B066B36"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Youth Fair is positioned as an accessible, family-oriented event combining entertainment with education. Its multi-week duration allows for repeat visitation and flexible scheduling, distinguishing it from single-weekend festivals. Strong partnerships with local schools further embed the fair within the educational infrastructure of Miami-Dade County.</w:t>
      </w:r>
    </w:p>
    <w:p w14:paraId="204BE091"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Comparable benchmark events include the South Florida Fair in Palm Beach County and the Florida State Fair in Tampa, both of which operate under similar multiweek, ticketed models and attract large scale attendance (South Florida Fair Authority, n.d.; Florida State Fair Authority, n.d.). These benchmarks confirm sustained regional demand for large-scale county fair experiences in Florida’s competitive event environment.</w:t>
      </w:r>
    </w:p>
    <w:p w14:paraId="19F2EE60"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Venue Concept</w:t>
      </w:r>
    </w:p>
    <w:p w14:paraId="17AF883C"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lastRenderedPageBreak/>
        <w:t>The Youth Fair is hosted at the Miami-Dade County Fair &amp; Exposition Center, a purpose-built fairgrounds facility consisting of extensive outdoor space and multiple indoor exhibition halls (Miami-Dade County Fair &amp; Exposition, Inc., n.d.-b). The venue accommodates a diversified programming layout that includes midway attractions, agricultural exhibitions, student showcases, food courts, and performance spaces. Its distributed spatial configuration supports high daily attendance volumes and allows for operational flexibility across different programming zones.</w:t>
      </w:r>
    </w:p>
    <w:p w14:paraId="440A117B"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Operational Concept</w:t>
      </w:r>
    </w:p>
    <w:p w14:paraId="514D718D"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Youth Fair relies on a combination of permanent administrative staff, temporary event staff, volunteers, and contracted service providers. Programming includes student competitions, livestock exhibitions, carnival attractions, educational displays, and community performances. Coordination occurs with licensed ride operators, local law enforcement, emergency medical services, and regulatory authorities to ensure safety and compliance.</w:t>
      </w:r>
    </w:p>
    <w:p w14:paraId="230A0E35"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Technology usage appears primarily functional, focusing on ticketing systems, access control, and point-of-sale infrastructure. There is limited evidence of structured digital engagement platforms embedded within the visitor experience, suggesting potential opportunities for layered experiential enhancements without major infrastructure expansion.</w:t>
      </w:r>
    </w:p>
    <w:p w14:paraId="53CFD4E1"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Risk Management Concept</w:t>
      </w:r>
    </w:p>
    <w:p w14:paraId="67269C78"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 xml:space="preserve">As a large-scale, youth-centered public event, the Youth Fair faces financial, operational, safety, and reputational risks. Weather variability may impact attendance levels. Crowd management challenges are inherent in multi-week events with high peak-day traffic. Ride safety and youth safeguarding responsibilities require strict compliance with inspection protocols and </w:t>
      </w:r>
      <w:r w:rsidRPr="00F57AF8">
        <w:rPr>
          <w:rFonts w:ascii="Times New Roman" w:hAnsi="Times New Roman" w:cs="Times New Roman"/>
          <w:sz w:val="24"/>
          <w:szCs w:val="24"/>
        </w:rPr>
        <w:lastRenderedPageBreak/>
        <w:t>security coordination. Risk mitigation measures include licensed ride inspections, insurance coverage, emergency response planning, and adherence to local and state regulations.</w:t>
      </w:r>
    </w:p>
    <w:p w14:paraId="4F4D948A"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Legal and Regulatory Concept</w:t>
      </w:r>
    </w:p>
    <w:p w14:paraId="6E485004"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As a nonprofit organization, Miami-Dade County Fair &amp; Exposition, Inc. complies with IRS reporting requirements and governance standards associated with 501(c)(3) status. The event is also subject to local permitting, health and safety inspections, vendor and concession contracts, and insurance requirements typical of large-scale public events.</w:t>
      </w:r>
    </w:p>
    <w:p w14:paraId="67329A25"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Social Impact and Community Engagement</w:t>
      </w:r>
    </w:p>
    <w:p w14:paraId="1B505E7A"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Youth Fair delivers measurable social impact through education and youth development. In addition to annual attendance exceeding 500,000 visitors, more than 32,000 students participate in organized school field trips during the event (Community Newspapers, 2024). Since its founding, the organization has contributed over $11 million toward scholarships, premiums, awards, and youth-focused programs (Miami-Dade County Fair &amp; Exposition, Inc., n.d.-a). This sustained reinvestment underscores the fair’s role as a major community institution within Miami-Dade County.</w:t>
      </w:r>
    </w:p>
    <w:p w14:paraId="75452A69"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Environmental and Sustainability Considerations</w:t>
      </w:r>
    </w:p>
    <w:p w14:paraId="7978F1E8"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While detailed sustainability strategies are not publicly documented, the scale of the Youth Fair implies significant environmental impacts related to waste generation, energy use, and transportation. These factors present opportunities for future sustainability initiatives aligned with best practices in large-scale event management.</w:t>
      </w:r>
    </w:p>
    <w:p w14:paraId="2FE5438C"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Overview of the Proposed Enhancement</w:t>
      </w:r>
    </w:p>
    <w:p w14:paraId="095D2BDA"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lastRenderedPageBreak/>
        <w:t>Using the Event Design Canvas methodology, this project proposes the Passport Journey as a substantial experiential addition integrated into the existing Miami Dade County Youth Fair. The enhancement responds to the current unstructured movement patterns observed among youth participants, who typically concentrate in high traffic ride and food zones while underutilizing educational and peripheral areas. Rather than introducing major permanent infrastructure, the concept overlays a structured engagement journey onto existing fair operations and incorporates minimal temporary activation structures such as sponsored photo booths and small educational stations.</w:t>
      </w:r>
    </w:p>
    <w:p w14:paraId="56680371"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passport introduces a guided yet optional four stage journey distributed across the fairgrounds. Participants progress through learning centered engagement stages focused on exploration, interaction, reflection, and contribution. Each stage includes multiple activity options to preserve autonomy while encouraging intentional movement across designated locations, including historically underutilized zones. Stamp earning sites are strategically positioned to support informal crowd redistribution, increase exposure to educational programming, and create measurable interaction opportunities for sponsors.</w:t>
      </w:r>
    </w:p>
    <w:p w14:paraId="6F58D732"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design intentionally integrates three complementary mechanisms. First, it provides journey-based engagement that transforms passive attendance into purposeful exploration. Second, it incorporates incentive based motivation through completion rewards and recognition. Third, it embeds sponsor led experiential activation through interactive stations rather than passive branding. Collectively, these elements create new value propositions for key stakeholders, particularly youth participants and sponsors, while positioning the concept for subsequent operational, financial, and mission-based feasibility evaluation.</w:t>
      </w:r>
    </w:p>
    <w:p w14:paraId="3E448E81"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Stakeholder Analysis</w:t>
      </w:r>
    </w:p>
    <w:p w14:paraId="671BAF92"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lastRenderedPageBreak/>
        <w:t>The proposed enhancement impacts and involves a wide range of stakeholders, including youth attendees, families, sponsors, vendors, fair management, operational staff, volunteers, educators, local schools, community organizations, and scholarship beneficiaries. Secondary stakeholders include local media, municipal partners, and repeat fair attendees.</w:t>
      </w:r>
    </w:p>
    <w:p w14:paraId="17963D0A"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Stakeholder Prioritization</w:t>
      </w:r>
    </w:p>
    <w:p w14:paraId="79B059EF"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While many stakeholders are affected by the enhancement, two groups are critical of their success. First, youth participants, particularly teenagers and young adults, are the primary users of the passport and the intended beneficiaries of the redesigned experience. Second, sponsors serve as essential partners who enable financial sustainability by funding activations, prizes, and contribution pools. Without sustained youth participation or sponsor buy-in, the enhancement would fail to achieve its engagement, financial, and mission-driven objectives. Key stakeholder roles are detailed in Appendix B.</w:t>
      </w:r>
    </w:p>
    <w:p w14:paraId="7D771397"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Accordingly, the two critical stakeholders selected for journey mapping are:</w:t>
      </w:r>
    </w:p>
    <w:p w14:paraId="5C378C1A" w14:textId="77777777" w:rsidR="007E160F" w:rsidRPr="00F57AF8" w:rsidRDefault="007E160F" w:rsidP="00F57AF8">
      <w:pPr>
        <w:numPr>
          <w:ilvl w:val="0"/>
          <w:numId w:val="1"/>
        </w:num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Youth Participants (Teen and Young Adult Attendees)</w:t>
      </w:r>
    </w:p>
    <w:p w14:paraId="4DEFA99E" w14:textId="4297A480" w:rsidR="007E160F" w:rsidRPr="00F57AF8" w:rsidRDefault="007E160F" w:rsidP="00F57AF8">
      <w:pPr>
        <w:numPr>
          <w:ilvl w:val="0"/>
          <w:numId w:val="1"/>
        </w:num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Sponsors (Activation and Funding Partners)</w:t>
      </w:r>
    </w:p>
    <w:p w14:paraId="7E4AF0BB"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Stakeholder Journey Mapping: Youth Participant</w:t>
      </w:r>
    </w:p>
    <w:p w14:paraId="1C022A13"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Entering Context: Life Before the Event</w:t>
      </w:r>
    </w:p>
    <w:p w14:paraId="1A14E336"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 xml:space="preserve">Teenagers attending the fair are typically middle or high school students. Their daily routines include attending school, completing homework, participating in extracurricular activities or sports, spending time with friends, and engaging in digital media consumption. Screen time, social interaction, and entertainment-oriented activities play a significant role in </w:t>
      </w:r>
      <w:r w:rsidRPr="00F57AF8">
        <w:rPr>
          <w:rFonts w:ascii="Times New Roman" w:hAnsi="Times New Roman" w:cs="Times New Roman"/>
          <w:sz w:val="24"/>
          <w:szCs w:val="24"/>
        </w:rPr>
        <w:lastRenderedPageBreak/>
        <w:t>their lives. Many teenagers seek environments that provide autonomy, peer recognition, and social validation.</w:t>
      </w:r>
    </w:p>
    <w:p w14:paraId="54A323DD" w14:textId="6DD4FE71"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following table describes the youth’s daily life of what they say and do and what are their pains and gains from their current state:</w:t>
      </w:r>
    </w:p>
    <w:tbl>
      <w:tblPr>
        <w:tblStyle w:val="TableGrid"/>
        <w:tblW w:w="0" w:type="auto"/>
        <w:tblLook w:val="04A0" w:firstRow="1" w:lastRow="0" w:firstColumn="1" w:lastColumn="0" w:noHBand="0" w:noVBand="1"/>
      </w:tblPr>
      <w:tblGrid>
        <w:gridCol w:w="4675"/>
        <w:gridCol w:w="4675"/>
      </w:tblGrid>
      <w:tr w:rsidR="007E160F" w14:paraId="1A7031EC" w14:textId="77777777" w:rsidTr="000E5D83">
        <w:tc>
          <w:tcPr>
            <w:tcW w:w="4675" w:type="dxa"/>
          </w:tcPr>
          <w:p w14:paraId="11A3B379" w14:textId="77777777" w:rsidR="007E160F" w:rsidRPr="0021654B" w:rsidRDefault="007E160F" w:rsidP="000E5D83">
            <w:pPr>
              <w:jc w:val="center"/>
              <w:rPr>
                <w:b/>
                <w:bCs/>
              </w:rPr>
            </w:pPr>
            <w:proofErr w:type="gramStart"/>
            <w:r w:rsidRPr="0021654B">
              <w:rPr>
                <w:b/>
                <w:bCs/>
              </w:rPr>
              <w:t>Say</w:t>
            </w:r>
            <w:proofErr w:type="gramEnd"/>
          </w:p>
          <w:p w14:paraId="5028E8CC" w14:textId="77777777" w:rsidR="007E160F" w:rsidRPr="0021654B" w:rsidRDefault="007E160F" w:rsidP="007E160F">
            <w:pPr>
              <w:numPr>
                <w:ilvl w:val="0"/>
                <w:numId w:val="20"/>
              </w:numPr>
              <w:spacing w:after="160"/>
            </w:pPr>
            <w:r w:rsidRPr="0021654B">
              <w:t>“School is stressful.”</w:t>
            </w:r>
          </w:p>
          <w:p w14:paraId="4C77AAA8" w14:textId="77777777" w:rsidR="007E160F" w:rsidRPr="0021654B" w:rsidRDefault="007E160F" w:rsidP="007E160F">
            <w:pPr>
              <w:numPr>
                <w:ilvl w:val="0"/>
                <w:numId w:val="20"/>
              </w:numPr>
              <w:spacing w:after="160"/>
            </w:pPr>
            <w:r w:rsidRPr="0021654B">
              <w:t>“I want to hang out with my friends.”</w:t>
            </w:r>
          </w:p>
          <w:p w14:paraId="25DAD2FD" w14:textId="77777777" w:rsidR="007E160F" w:rsidRPr="0021654B" w:rsidRDefault="007E160F" w:rsidP="007E160F">
            <w:pPr>
              <w:numPr>
                <w:ilvl w:val="0"/>
                <w:numId w:val="20"/>
              </w:numPr>
              <w:spacing w:after="160"/>
            </w:pPr>
            <w:r w:rsidRPr="0021654B">
              <w:t>“I just want to have fun.”</w:t>
            </w:r>
          </w:p>
          <w:p w14:paraId="56DCF339" w14:textId="77777777" w:rsidR="007E160F" w:rsidRPr="0021654B" w:rsidRDefault="007E160F" w:rsidP="007E160F">
            <w:pPr>
              <w:numPr>
                <w:ilvl w:val="0"/>
                <w:numId w:val="20"/>
              </w:numPr>
              <w:spacing w:after="160"/>
            </w:pPr>
            <w:r w:rsidRPr="0021654B">
              <w:t>“I don’t like when things feel forced.”</w:t>
            </w:r>
          </w:p>
          <w:p w14:paraId="756BBE33" w14:textId="77777777" w:rsidR="007E160F" w:rsidRDefault="007E160F" w:rsidP="000E5D83"/>
        </w:tc>
        <w:tc>
          <w:tcPr>
            <w:tcW w:w="4675" w:type="dxa"/>
          </w:tcPr>
          <w:p w14:paraId="416CAB54" w14:textId="77777777" w:rsidR="007E160F" w:rsidRPr="0021654B" w:rsidRDefault="007E160F" w:rsidP="000E5D83">
            <w:pPr>
              <w:jc w:val="center"/>
              <w:rPr>
                <w:b/>
                <w:bCs/>
              </w:rPr>
            </w:pPr>
            <w:r w:rsidRPr="0021654B">
              <w:rPr>
                <w:b/>
                <w:bCs/>
              </w:rPr>
              <w:t>DO</w:t>
            </w:r>
          </w:p>
          <w:p w14:paraId="00F598A6" w14:textId="77777777" w:rsidR="007E160F" w:rsidRPr="0021654B" w:rsidRDefault="007E160F" w:rsidP="007E160F">
            <w:pPr>
              <w:numPr>
                <w:ilvl w:val="0"/>
                <w:numId w:val="21"/>
              </w:numPr>
              <w:spacing w:after="160"/>
            </w:pPr>
            <w:r w:rsidRPr="0021654B">
              <w:t>Attend school daily.</w:t>
            </w:r>
          </w:p>
          <w:p w14:paraId="68EDD7B1" w14:textId="77777777" w:rsidR="007E160F" w:rsidRPr="0021654B" w:rsidRDefault="007E160F" w:rsidP="007E160F">
            <w:pPr>
              <w:numPr>
                <w:ilvl w:val="0"/>
                <w:numId w:val="21"/>
              </w:numPr>
              <w:spacing w:after="160"/>
            </w:pPr>
            <w:r w:rsidRPr="0021654B">
              <w:t>Complete assignments and prepare for exams.</w:t>
            </w:r>
          </w:p>
          <w:p w14:paraId="077894C5" w14:textId="77777777" w:rsidR="007E160F" w:rsidRPr="0021654B" w:rsidRDefault="007E160F" w:rsidP="007E160F">
            <w:pPr>
              <w:numPr>
                <w:ilvl w:val="0"/>
                <w:numId w:val="21"/>
              </w:numPr>
              <w:spacing w:after="160"/>
            </w:pPr>
            <w:r w:rsidRPr="0021654B">
              <w:t>Use social media platforms regularly.</w:t>
            </w:r>
          </w:p>
          <w:p w14:paraId="37F004FC" w14:textId="77777777" w:rsidR="007E160F" w:rsidRPr="0021654B" w:rsidRDefault="007E160F" w:rsidP="007E160F">
            <w:pPr>
              <w:numPr>
                <w:ilvl w:val="0"/>
                <w:numId w:val="21"/>
              </w:numPr>
              <w:spacing w:after="160"/>
            </w:pPr>
            <w:r w:rsidRPr="0021654B">
              <w:t>Seek experiences that feel exciting or socially relevant.</w:t>
            </w:r>
          </w:p>
          <w:p w14:paraId="0DFC12F6" w14:textId="77777777" w:rsidR="007E160F" w:rsidRDefault="007E160F" w:rsidP="007E160F">
            <w:pPr>
              <w:numPr>
                <w:ilvl w:val="0"/>
                <w:numId w:val="21"/>
              </w:numPr>
              <w:spacing w:after="160"/>
            </w:pPr>
            <w:r w:rsidRPr="0021654B">
              <w:t>Prefer environments that allow choice rather than instruction.</w:t>
            </w:r>
          </w:p>
        </w:tc>
      </w:tr>
      <w:tr w:rsidR="007E160F" w14:paraId="110CA567" w14:textId="77777777" w:rsidTr="000E5D83">
        <w:tc>
          <w:tcPr>
            <w:tcW w:w="4675" w:type="dxa"/>
          </w:tcPr>
          <w:p w14:paraId="5D37FA4F" w14:textId="77777777" w:rsidR="007E160F" w:rsidRPr="0021654B" w:rsidRDefault="007E160F" w:rsidP="000E5D83">
            <w:pPr>
              <w:spacing w:after="160"/>
              <w:jc w:val="center"/>
              <w:rPr>
                <w:b/>
                <w:bCs/>
              </w:rPr>
            </w:pPr>
            <w:r w:rsidRPr="0021654B">
              <w:rPr>
                <w:b/>
                <w:bCs/>
              </w:rPr>
              <w:t>Pains</w:t>
            </w:r>
          </w:p>
          <w:p w14:paraId="478A7ECB" w14:textId="77777777" w:rsidR="007E160F" w:rsidRPr="0021654B" w:rsidRDefault="007E160F" w:rsidP="007E160F">
            <w:pPr>
              <w:numPr>
                <w:ilvl w:val="0"/>
                <w:numId w:val="22"/>
              </w:numPr>
              <w:spacing w:after="160"/>
            </w:pPr>
            <w:r w:rsidRPr="0021654B">
              <w:t>Academic pressure and performance expectations.</w:t>
            </w:r>
          </w:p>
          <w:p w14:paraId="272F0046" w14:textId="77777777" w:rsidR="007E160F" w:rsidRPr="0021654B" w:rsidRDefault="007E160F" w:rsidP="007E160F">
            <w:pPr>
              <w:numPr>
                <w:ilvl w:val="0"/>
                <w:numId w:val="22"/>
              </w:numPr>
              <w:spacing w:after="160"/>
            </w:pPr>
            <w:r w:rsidRPr="0021654B">
              <w:t>Limited autonomy in structured school environments.</w:t>
            </w:r>
          </w:p>
          <w:p w14:paraId="512A3EB1" w14:textId="77777777" w:rsidR="007E160F" w:rsidRPr="0021654B" w:rsidRDefault="007E160F" w:rsidP="007E160F">
            <w:pPr>
              <w:numPr>
                <w:ilvl w:val="0"/>
                <w:numId w:val="22"/>
              </w:numPr>
              <w:spacing w:after="160"/>
            </w:pPr>
            <w:r w:rsidRPr="0021654B">
              <w:t>Social comparison and desire for peer validation.</w:t>
            </w:r>
          </w:p>
          <w:p w14:paraId="5CB3EE28" w14:textId="77777777" w:rsidR="007E160F" w:rsidRPr="0021654B" w:rsidRDefault="007E160F" w:rsidP="007E160F">
            <w:pPr>
              <w:numPr>
                <w:ilvl w:val="0"/>
                <w:numId w:val="22"/>
              </w:numPr>
              <w:spacing w:after="160"/>
            </w:pPr>
            <w:r w:rsidRPr="0021654B">
              <w:t>Boredom with passive learning formats.</w:t>
            </w:r>
          </w:p>
          <w:p w14:paraId="7DC456E9" w14:textId="77777777" w:rsidR="007E160F" w:rsidRDefault="007E160F" w:rsidP="007E160F">
            <w:pPr>
              <w:numPr>
                <w:ilvl w:val="0"/>
                <w:numId w:val="22"/>
              </w:numPr>
              <w:spacing w:after="160"/>
            </w:pPr>
            <w:r w:rsidRPr="0021654B">
              <w:t>Desire for meaningful experiences beyond routine.</w:t>
            </w:r>
          </w:p>
        </w:tc>
        <w:tc>
          <w:tcPr>
            <w:tcW w:w="4675" w:type="dxa"/>
          </w:tcPr>
          <w:p w14:paraId="70471570" w14:textId="77777777" w:rsidR="007E160F" w:rsidRPr="0021654B" w:rsidRDefault="007E160F" w:rsidP="000E5D83">
            <w:pPr>
              <w:spacing w:after="160"/>
              <w:jc w:val="center"/>
              <w:rPr>
                <w:b/>
                <w:bCs/>
              </w:rPr>
            </w:pPr>
            <w:r w:rsidRPr="0021654B">
              <w:rPr>
                <w:b/>
                <w:bCs/>
              </w:rPr>
              <w:t>Gains</w:t>
            </w:r>
          </w:p>
          <w:p w14:paraId="720E5FFF" w14:textId="77777777" w:rsidR="007E160F" w:rsidRPr="0021654B" w:rsidRDefault="007E160F" w:rsidP="007E160F">
            <w:pPr>
              <w:numPr>
                <w:ilvl w:val="0"/>
                <w:numId w:val="23"/>
              </w:numPr>
              <w:spacing w:after="160"/>
            </w:pPr>
            <w:r w:rsidRPr="0021654B">
              <w:t>Enjoyment from social bonding.</w:t>
            </w:r>
          </w:p>
          <w:p w14:paraId="2C85B2A6" w14:textId="77777777" w:rsidR="007E160F" w:rsidRPr="0021654B" w:rsidRDefault="007E160F" w:rsidP="007E160F">
            <w:pPr>
              <w:numPr>
                <w:ilvl w:val="0"/>
                <w:numId w:val="23"/>
              </w:numPr>
              <w:spacing w:after="160"/>
            </w:pPr>
            <w:r w:rsidRPr="0021654B">
              <w:t>Pride in personal achievement.</w:t>
            </w:r>
          </w:p>
          <w:p w14:paraId="20234B45" w14:textId="77777777" w:rsidR="007E160F" w:rsidRPr="0021654B" w:rsidRDefault="007E160F" w:rsidP="007E160F">
            <w:pPr>
              <w:numPr>
                <w:ilvl w:val="0"/>
                <w:numId w:val="23"/>
              </w:numPr>
              <w:spacing w:after="160"/>
            </w:pPr>
            <w:r w:rsidRPr="0021654B">
              <w:t>Recognition from peers.</w:t>
            </w:r>
          </w:p>
          <w:p w14:paraId="050B5C0E" w14:textId="77777777" w:rsidR="007E160F" w:rsidRPr="0021654B" w:rsidRDefault="007E160F" w:rsidP="007E160F">
            <w:pPr>
              <w:numPr>
                <w:ilvl w:val="0"/>
                <w:numId w:val="23"/>
              </w:numPr>
              <w:spacing w:after="160"/>
            </w:pPr>
            <w:r w:rsidRPr="0021654B">
              <w:t>Discovering new interests.</w:t>
            </w:r>
          </w:p>
          <w:p w14:paraId="1FD72B3A" w14:textId="77777777" w:rsidR="007E160F" w:rsidRPr="0021654B" w:rsidRDefault="007E160F" w:rsidP="007E160F">
            <w:pPr>
              <w:numPr>
                <w:ilvl w:val="0"/>
                <w:numId w:val="23"/>
              </w:numPr>
              <w:spacing w:after="160"/>
            </w:pPr>
            <w:r w:rsidRPr="0021654B">
              <w:t>Experiences that feel voluntary rather than imposed.</w:t>
            </w:r>
          </w:p>
          <w:p w14:paraId="1CA21502" w14:textId="77777777" w:rsidR="007E160F" w:rsidRDefault="007E160F" w:rsidP="000E5D83"/>
        </w:tc>
      </w:tr>
    </w:tbl>
    <w:p w14:paraId="649F9678" w14:textId="77777777" w:rsidR="00F57AF8" w:rsidRDefault="00F57AF8" w:rsidP="007E160F">
      <w:pPr>
        <w:spacing w:line="480" w:lineRule="auto"/>
        <w:rPr>
          <w:b/>
          <w:bCs/>
        </w:rPr>
      </w:pPr>
    </w:p>
    <w:p w14:paraId="74F5AC94" w14:textId="318208FD"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Exiting Behaviors: Experience of the Enhancement</w:t>
      </w:r>
    </w:p>
    <w:p w14:paraId="0FEA8CF9"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When introduced to the Passport Journey, the teenager encounters a structured but optional journey. It does not resemble schoolwork. Instead, it offers autonomy, exploration, and short interactive tasks distributed across the fairgrounds. The passport reframes participation as a challenge or experience rather than instruction.</w:t>
      </w:r>
    </w:p>
    <w:p w14:paraId="082604E9" w14:textId="210C9CFE"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lastRenderedPageBreak/>
        <w:t>The learning moments are embedded in exploration, interaction, reflection, and contribution. Activities are brief, socially shareable if desired, and connected to visible outcomes such as rewards or impact recognition. The following table describes what Youth will say and do upon interaction with our passport journey</w:t>
      </w:r>
      <w:r w:rsidR="00F57AF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675"/>
        <w:gridCol w:w="4675"/>
      </w:tblGrid>
      <w:tr w:rsidR="007E160F" w14:paraId="78C83FAD" w14:textId="77777777" w:rsidTr="000E5D83">
        <w:tc>
          <w:tcPr>
            <w:tcW w:w="4675" w:type="dxa"/>
          </w:tcPr>
          <w:p w14:paraId="35970EF9" w14:textId="77777777" w:rsidR="007E160F" w:rsidRPr="0021654B" w:rsidRDefault="007E160F" w:rsidP="000E5D83">
            <w:pPr>
              <w:spacing w:after="160"/>
              <w:jc w:val="center"/>
              <w:rPr>
                <w:b/>
                <w:bCs/>
              </w:rPr>
            </w:pPr>
            <w:proofErr w:type="gramStart"/>
            <w:r w:rsidRPr="0021654B">
              <w:rPr>
                <w:b/>
                <w:bCs/>
              </w:rPr>
              <w:t>Say</w:t>
            </w:r>
            <w:proofErr w:type="gramEnd"/>
          </w:p>
          <w:p w14:paraId="7F26465D" w14:textId="77777777" w:rsidR="007E160F" w:rsidRPr="0021654B" w:rsidRDefault="007E160F" w:rsidP="007E160F">
            <w:pPr>
              <w:numPr>
                <w:ilvl w:val="0"/>
                <w:numId w:val="24"/>
              </w:numPr>
              <w:spacing w:after="160"/>
            </w:pPr>
            <w:r w:rsidRPr="0021654B">
              <w:t>“I didn’t expect to learn something here.”</w:t>
            </w:r>
          </w:p>
          <w:p w14:paraId="7A664ACD" w14:textId="77777777" w:rsidR="007E160F" w:rsidRPr="0021654B" w:rsidRDefault="007E160F" w:rsidP="007E160F">
            <w:pPr>
              <w:numPr>
                <w:ilvl w:val="0"/>
                <w:numId w:val="24"/>
              </w:numPr>
              <w:spacing w:after="160"/>
            </w:pPr>
            <w:r w:rsidRPr="0021654B">
              <w:t>“That was actually interesting.”</w:t>
            </w:r>
          </w:p>
          <w:p w14:paraId="4150A5C4" w14:textId="77777777" w:rsidR="007E160F" w:rsidRPr="0021654B" w:rsidRDefault="007E160F" w:rsidP="007E160F">
            <w:pPr>
              <w:numPr>
                <w:ilvl w:val="0"/>
                <w:numId w:val="24"/>
              </w:numPr>
              <w:spacing w:after="160"/>
            </w:pPr>
            <w:r w:rsidRPr="0021654B">
              <w:t>“We went to parts of the fair we normally skip.”</w:t>
            </w:r>
          </w:p>
          <w:p w14:paraId="4DF41D74" w14:textId="77777777" w:rsidR="007E160F" w:rsidRDefault="007E160F" w:rsidP="007E160F">
            <w:pPr>
              <w:numPr>
                <w:ilvl w:val="0"/>
                <w:numId w:val="24"/>
              </w:numPr>
              <w:spacing w:after="160"/>
            </w:pPr>
            <w:r w:rsidRPr="0021654B">
              <w:t>“I didn’t know the fair supports scholarships.”</w:t>
            </w:r>
          </w:p>
          <w:p w14:paraId="291ACF65" w14:textId="77777777" w:rsidR="007E160F" w:rsidRDefault="007E160F" w:rsidP="007E160F">
            <w:pPr>
              <w:numPr>
                <w:ilvl w:val="0"/>
                <w:numId w:val="24"/>
              </w:numPr>
              <w:spacing w:after="160"/>
            </w:pPr>
            <w:r>
              <w:t>“I hope I win the scholarship award.”</w:t>
            </w:r>
          </w:p>
          <w:p w14:paraId="049330E2" w14:textId="77777777" w:rsidR="007E160F" w:rsidRPr="0021654B" w:rsidRDefault="007E160F" w:rsidP="007E160F">
            <w:pPr>
              <w:numPr>
                <w:ilvl w:val="0"/>
                <w:numId w:val="24"/>
              </w:numPr>
              <w:spacing w:after="160"/>
            </w:pPr>
            <w:r>
              <w:t>“The passport was actually worth completing.”</w:t>
            </w:r>
          </w:p>
        </w:tc>
        <w:tc>
          <w:tcPr>
            <w:tcW w:w="4675" w:type="dxa"/>
          </w:tcPr>
          <w:p w14:paraId="1DC703C1" w14:textId="77777777" w:rsidR="007E160F" w:rsidRPr="0021654B" w:rsidRDefault="007E160F" w:rsidP="000E5D83">
            <w:pPr>
              <w:spacing w:after="160"/>
              <w:jc w:val="center"/>
              <w:rPr>
                <w:b/>
                <w:bCs/>
              </w:rPr>
            </w:pPr>
            <w:r w:rsidRPr="0021654B">
              <w:rPr>
                <w:b/>
                <w:bCs/>
              </w:rPr>
              <w:t>Do</w:t>
            </w:r>
          </w:p>
          <w:p w14:paraId="76E7B8AF" w14:textId="77777777" w:rsidR="007E160F" w:rsidRPr="0021654B" w:rsidRDefault="007E160F" w:rsidP="007E160F">
            <w:pPr>
              <w:numPr>
                <w:ilvl w:val="0"/>
                <w:numId w:val="25"/>
              </w:numPr>
              <w:spacing w:after="160"/>
            </w:pPr>
            <w:r w:rsidRPr="0021654B">
              <w:t>Share the experience with friends.</w:t>
            </w:r>
          </w:p>
          <w:p w14:paraId="32A50CE8" w14:textId="77777777" w:rsidR="007E160F" w:rsidRPr="0021654B" w:rsidRDefault="007E160F" w:rsidP="007E160F">
            <w:pPr>
              <w:numPr>
                <w:ilvl w:val="0"/>
                <w:numId w:val="25"/>
              </w:numPr>
              <w:spacing w:after="160"/>
            </w:pPr>
            <w:r w:rsidRPr="0021654B">
              <w:t>Recognize the fair as more than rides and food.</w:t>
            </w:r>
          </w:p>
          <w:p w14:paraId="00ECF960" w14:textId="77777777" w:rsidR="007E160F" w:rsidRPr="0021654B" w:rsidRDefault="007E160F" w:rsidP="007E160F">
            <w:pPr>
              <w:numPr>
                <w:ilvl w:val="0"/>
                <w:numId w:val="25"/>
              </w:numPr>
              <w:spacing w:after="160"/>
            </w:pPr>
            <w:r w:rsidRPr="0021654B">
              <w:t>Demonstrate increased awareness of youth programs or educational components.</w:t>
            </w:r>
          </w:p>
          <w:p w14:paraId="1E278A3B" w14:textId="77777777" w:rsidR="007E160F" w:rsidRPr="0021654B" w:rsidRDefault="007E160F" w:rsidP="007E160F">
            <w:pPr>
              <w:numPr>
                <w:ilvl w:val="0"/>
                <w:numId w:val="25"/>
              </w:numPr>
              <w:spacing w:after="160"/>
            </w:pPr>
            <w:r w:rsidRPr="0021654B">
              <w:t>Show greater intention in navigating large events.</w:t>
            </w:r>
          </w:p>
          <w:p w14:paraId="6DEEAF4E" w14:textId="77777777" w:rsidR="007E160F" w:rsidRPr="0021654B" w:rsidRDefault="007E160F" w:rsidP="007E160F">
            <w:pPr>
              <w:numPr>
                <w:ilvl w:val="0"/>
                <w:numId w:val="25"/>
              </w:numPr>
              <w:spacing w:after="160"/>
            </w:pPr>
            <w:r w:rsidRPr="0021654B">
              <w:t>Express interest in returning or participating again.</w:t>
            </w:r>
          </w:p>
        </w:tc>
      </w:tr>
    </w:tbl>
    <w:p w14:paraId="353FCD81" w14:textId="77777777" w:rsidR="007E160F" w:rsidRPr="0021654B" w:rsidRDefault="007E160F" w:rsidP="007E160F">
      <w:pPr>
        <w:spacing w:line="480" w:lineRule="auto"/>
        <w:rPr>
          <w:b/>
          <w:bCs/>
        </w:rPr>
      </w:pPr>
    </w:p>
    <w:p w14:paraId="6BBB98DD"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Connection Between Entering and Exiting behaviors for Youth Participants</w:t>
      </w:r>
    </w:p>
    <w:p w14:paraId="16E44FAC"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Passport Journey mirrors how teenagers prefer to engage in their everyday lives: through autonomy, short interactive tasks, peer engagement, and visible achievement. By embedding learning within choice driven exploration, the passport reduces resistance to educational content and transforms passive attendance into purposeful discovery. The experience extends beyond the event by shaping how youth perceive community institutions and their role within them.</w:t>
      </w:r>
    </w:p>
    <w:p w14:paraId="4FD136DA"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Stakeholder Journey Mapping: Sponsors</w:t>
      </w:r>
    </w:p>
    <w:p w14:paraId="283219F8"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Entering Context: Organizational Life in General (Before the Event)</w:t>
      </w:r>
    </w:p>
    <w:p w14:paraId="251B1197" w14:textId="77777777" w:rsidR="007E160F" w:rsidRDefault="007E160F" w:rsidP="00F57AF8">
      <w:pPr>
        <w:spacing w:line="480" w:lineRule="auto"/>
        <w:ind w:firstLine="720"/>
      </w:pPr>
      <w:r w:rsidRPr="00F57AF8">
        <w:rPr>
          <w:rFonts w:ascii="Times New Roman" w:hAnsi="Times New Roman" w:cs="Times New Roman"/>
          <w:sz w:val="24"/>
          <w:szCs w:val="24"/>
        </w:rPr>
        <w:lastRenderedPageBreak/>
        <w:t>Sponsors are organizations operating under ongoing pressures to grow market share, protect brand reputation, and allocate limited marketing and community investment budgets. Their day-to-day environment includes quarterly performance targets, competition for consumer attention, and increasing expectations to demonstrate authentic community impact. Sponsorship decisions are typically evaluated through a mix of brand goals, audience relevance, internal budget constraints, and leadership expectations for measurable outcomes. The following table describes the Sponsors’ daily life of what they say and do and what are their pains and gains from their current state:</w:t>
      </w:r>
    </w:p>
    <w:tbl>
      <w:tblPr>
        <w:tblStyle w:val="TableGrid"/>
        <w:tblW w:w="0" w:type="auto"/>
        <w:tblLook w:val="04A0" w:firstRow="1" w:lastRow="0" w:firstColumn="1" w:lastColumn="0" w:noHBand="0" w:noVBand="1"/>
      </w:tblPr>
      <w:tblGrid>
        <w:gridCol w:w="4675"/>
        <w:gridCol w:w="4675"/>
      </w:tblGrid>
      <w:tr w:rsidR="007E160F" w14:paraId="57E11698" w14:textId="77777777" w:rsidTr="000E5D83">
        <w:tc>
          <w:tcPr>
            <w:tcW w:w="4675" w:type="dxa"/>
          </w:tcPr>
          <w:p w14:paraId="1A7EA72C" w14:textId="77777777" w:rsidR="007E160F" w:rsidRPr="00F57AF8" w:rsidRDefault="007E160F" w:rsidP="000E5D83">
            <w:pPr>
              <w:spacing w:after="160"/>
              <w:jc w:val="center"/>
              <w:rPr>
                <w:rFonts w:ascii="Times New Roman" w:hAnsi="Times New Roman" w:cs="Times New Roman"/>
                <w:b/>
                <w:bCs/>
              </w:rPr>
            </w:pPr>
            <w:proofErr w:type="gramStart"/>
            <w:r w:rsidRPr="00F57AF8">
              <w:rPr>
                <w:rFonts w:ascii="Times New Roman" w:hAnsi="Times New Roman" w:cs="Times New Roman"/>
                <w:b/>
                <w:bCs/>
              </w:rPr>
              <w:t>Say</w:t>
            </w:r>
            <w:proofErr w:type="gramEnd"/>
          </w:p>
          <w:p w14:paraId="07E00A3F" w14:textId="77777777" w:rsidR="007E160F" w:rsidRPr="00F57AF8" w:rsidRDefault="007E160F" w:rsidP="007E160F">
            <w:pPr>
              <w:numPr>
                <w:ilvl w:val="0"/>
                <w:numId w:val="26"/>
              </w:numPr>
              <w:spacing w:after="160"/>
              <w:rPr>
                <w:rFonts w:ascii="Times New Roman" w:hAnsi="Times New Roman" w:cs="Times New Roman"/>
              </w:rPr>
            </w:pPr>
            <w:r w:rsidRPr="00F57AF8">
              <w:rPr>
                <w:rFonts w:ascii="Times New Roman" w:hAnsi="Times New Roman" w:cs="Times New Roman"/>
              </w:rPr>
              <w:t>“We need community visibility that supports our brand reputation.”</w:t>
            </w:r>
          </w:p>
          <w:p w14:paraId="38F5BC66" w14:textId="77777777" w:rsidR="007E160F" w:rsidRPr="00F57AF8" w:rsidRDefault="007E160F" w:rsidP="007E160F">
            <w:pPr>
              <w:numPr>
                <w:ilvl w:val="0"/>
                <w:numId w:val="26"/>
              </w:numPr>
              <w:spacing w:after="160"/>
              <w:rPr>
                <w:rFonts w:ascii="Times New Roman" w:hAnsi="Times New Roman" w:cs="Times New Roman"/>
              </w:rPr>
            </w:pPr>
            <w:r w:rsidRPr="00F57AF8">
              <w:rPr>
                <w:rFonts w:ascii="Times New Roman" w:hAnsi="Times New Roman" w:cs="Times New Roman"/>
              </w:rPr>
              <w:t>“Our budget has to show results.”</w:t>
            </w:r>
          </w:p>
          <w:p w14:paraId="464960A8" w14:textId="77777777" w:rsidR="007E160F" w:rsidRPr="00F57AF8" w:rsidRDefault="007E160F" w:rsidP="007E160F">
            <w:pPr>
              <w:numPr>
                <w:ilvl w:val="0"/>
                <w:numId w:val="26"/>
              </w:numPr>
              <w:spacing w:after="160"/>
              <w:rPr>
                <w:rFonts w:ascii="Times New Roman" w:hAnsi="Times New Roman" w:cs="Times New Roman"/>
              </w:rPr>
            </w:pPr>
            <w:r w:rsidRPr="00F57AF8">
              <w:rPr>
                <w:rFonts w:ascii="Times New Roman" w:hAnsi="Times New Roman" w:cs="Times New Roman"/>
              </w:rPr>
              <w:t>“We cannot fund activities that lack clear purpose.”</w:t>
            </w:r>
          </w:p>
          <w:p w14:paraId="080DF170" w14:textId="77777777" w:rsidR="007E160F" w:rsidRPr="00F57AF8" w:rsidRDefault="007E160F" w:rsidP="007E160F">
            <w:pPr>
              <w:numPr>
                <w:ilvl w:val="0"/>
                <w:numId w:val="26"/>
              </w:numPr>
              <w:spacing w:after="160"/>
              <w:rPr>
                <w:rFonts w:ascii="Times New Roman" w:hAnsi="Times New Roman" w:cs="Times New Roman"/>
              </w:rPr>
            </w:pPr>
            <w:r w:rsidRPr="00F57AF8">
              <w:rPr>
                <w:rFonts w:ascii="Times New Roman" w:hAnsi="Times New Roman" w:cs="Times New Roman"/>
              </w:rPr>
              <w:t>“We need opportunities that align with our values.”</w:t>
            </w:r>
          </w:p>
          <w:p w14:paraId="19F41874" w14:textId="77777777" w:rsidR="007E160F" w:rsidRPr="00F57AF8" w:rsidRDefault="007E160F" w:rsidP="000E5D83">
            <w:pPr>
              <w:rPr>
                <w:rFonts w:ascii="Times New Roman" w:hAnsi="Times New Roman" w:cs="Times New Roman"/>
              </w:rPr>
            </w:pPr>
          </w:p>
        </w:tc>
        <w:tc>
          <w:tcPr>
            <w:tcW w:w="4675" w:type="dxa"/>
          </w:tcPr>
          <w:p w14:paraId="445AC78C" w14:textId="77777777" w:rsidR="007E160F" w:rsidRPr="00F57AF8" w:rsidRDefault="007E160F" w:rsidP="000E5D83">
            <w:pPr>
              <w:spacing w:after="160"/>
              <w:jc w:val="center"/>
              <w:rPr>
                <w:rFonts w:ascii="Times New Roman" w:hAnsi="Times New Roman" w:cs="Times New Roman"/>
                <w:b/>
                <w:bCs/>
              </w:rPr>
            </w:pPr>
            <w:r w:rsidRPr="00F57AF8">
              <w:rPr>
                <w:rFonts w:ascii="Times New Roman" w:hAnsi="Times New Roman" w:cs="Times New Roman"/>
                <w:b/>
                <w:bCs/>
              </w:rPr>
              <w:t>Do</w:t>
            </w:r>
          </w:p>
          <w:p w14:paraId="69A6228B" w14:textId="77777777" w:rsidR="007E160F" w:rsidRPr="00F57AF8" w:rsidRDefault="007E160F" w:rsidP="007E160F">
            <w:pPr>
              <w:numPr>
                <w:ilvl w:val="0"/>
                <w:numId w:val="27"/>
              </w:numPr>
              <w:spacing w:after="160"/>
              <w:rPr>
                <w:rFonts w:ascii="Times New Roman" w:hAnsi="Times New Roman" w:cs="Times New Roman"/>
              </w:rPr>
            </w:pPr>
            <w:r w:rsidRPr="00F57AF8">
              <w:rPr>
                <w:rFonts w:ascii="Times New Roman" w:hAnsi="Times New Roman" w:cs="Times New Roman"/>
              </w:rPr>
              <w:t>Plan annual marketing and community investment calendars.</w:t>
            </w:r>
          </w:p>
          <w:p w14:paraId="258822C9" w14:textId="77777777" w:rsidR="007E160F" w:rsidRPr="00F57AF8" w:rsidRDefault="007E160F" w:rsidP="007E160F">
            <w:pPr>
              <w:numPr>
                <w:ilvl w:val="0"/>
                <w:numId w:val="27"/>
              </w:numPr>
              <w:spacing w:after="160"/>
              <w:rPr>
                <w:rFonts w:ascii="Times New Roman" w:hAnsi="Times New Roman" w:cs="Times New Roman"/>
              </w:rPr>
            </w:pPr>
            <w:r w:rsidRPr="00F57AF8">
              <w:rPr>
                <w:rFonts w:ascii="Times New Roman" w:hAnsi="Times New Roman" w:cs="Times New Roman"/>
              </w:rPr>
              <w:t>Allocate budgets across channels such as digital marketing, events, and partnerships.</w:t>
            </w:r>
          </w:p>
          <w:p w14:paraId="72AB4F42" w14:textId="77777777" w:rsidR="007E160F" w:rsidRPr="00F57AF8" w:rsidRDefault="007E160F" w:rsidP="007E160F">
            <w:pPr>
              <w:numPr>
                <w:ilvl w:val="0"/>
                <w:numId w:val="27"/>
              </w:numPr>
              <w:spacing w:after="160"/>
              <w:rPr>
                <w:rFonts w:ascii="Times New Roman" w:hAnsi="Times New Roman" w:cs="Times New Roman"/>
              </w:rPr>
            </w:pPr>
            <w:r w:rsidRPr="00F57AF8">
              <w:rPr>
                <w:rFonts w:ascii="Times New Roman" w:hAnsi="Times New Roman" w:cs="Times New Roman"/>
              </w:rPr>
              <w:t>Evaluate opportunities based on audience-fit and measurable outcomes.</w:t>
            </w:r>
          </w:p>
          <w:p w14:paraId="310C99CD" w14:textId="77777777" w:rsidR="007E160F" w:rsidRPr="00F57AF8" w:rsidRDefault="007E160F" w:rsidP="007E160F">
            <w:pPr>
              <w:numPr>
                <w:ilvl w:val="0"/>
                <w:numId w:val="27"/>
              </w:numPr>
              <w:spacing w:after="160"/>
              <w:rPr>
                <w:rFonts w:ascii="Times New Roman" w:hAnsi="Times New Roman" w:cs="Times New Roman"/>
              </w:rPr>
            </w:pPr>
            <w:r w:rsidRPr="00F57AF8">
              <w:rPr>
                <w:rFonts w:ascii="Times New Roman" w:hAnsi="Times New Roman" w:cs="Times New Roman"/>
              </w:rPr>
              <w:t>Seek partnerships that support both brand goals and community impact.</w:t>
            </w:r>
          </w:p>
          <w:p w14:paraId="4B752CDB" w14:textId="77777777" w:rsidR="007E160F" w:rsidRPr="00F57AF8" w:rsidRDefault="007E160F" w:rsidP="007E160F">
            <w:pPr>
              <w:numPr>
                <w:ilvl w:val="0"/>
                <w:numId w:val="27"/>
              </w:numPr>
              <w:spacing w:after="160"/>
              <w:rPr>
                <w:rFonts w:ascii="Times New Roman" w:hAnsi="Times New Roman" w:cs="Times New Roman"/>
              </w:rPr>
            </w:pPr>
            <w:r w:rsidRPr="00F57AF8">
              <w:rPr>
                <w:rFonts w:ascii="Times New Roman" w:hAnsi="Times New Roman" w:cs="Times New Roman"/>
              </w:rPr>
              <w:t>Report results internally to justify spending.</w:t>
            </w:r>
          </w:p>
          <w:p w14:paraId="6946B029" w14:textId="77777777" w:rsidR="007E160F" w:rsidRPr="00F57AF8" w:rsidRDefault="007E160F" w:rsidP="000E5D83">
            <w:pPr>
              <w:rPr>
                <w:rFonts w:ascii="Times New Roman" w:hAnsi="Times New Roman" w:cs="Times New Roman"/>
              </w:rPr>
            </w:pPr>
          </w:p>
        </w:tc>
      </w:tr>
      <w:tr w:rsidR="007E160F" w14:paraId="36438C49" w14:textId="77777777" w:rsidTr="000E5D83">
        <w:tc>
          <w:tcPr>
            <w:tcW w:w="4675" w:type="dxa"/>
          </w:tcPr>
          <w:p w14:paraId="712CAF2A" w14:textId="77777777" w:rsidR="007E160F" w:rsidRPr="00F57AF8" w:rsidRDefault="007E160F" w:rsidP="000E5D83">
            <w:pPr>
              <w:spacing w:after="160"/>
              <w:jc w:val="center"/>
              <w:rPr>
                <w:rFonts w:ascii="Times New Roman" w:hAnsi="Times New Roman" w:cs="Times New Roman"/>
                <w:b/>
                <w:bCs/>
              </w:rPr>
            </w:pPr>
            <w:r w:rsidRPr="00F57AF8">
              <w:rPr>
                <w:rFonts w:ascii="Times New Roman" w:hAnsi="Times New Roman" w:cs="Times New Roman"/>
                <w:b/>
                <w:bCs/>
              </w:rPr>
              <w:t>Pains</w:t>
            </w:r>
          </w:p>
          <w:p w14:paraId="5A48D851" w14:textId="77777777" w:rsidR="007E160F" w:rsidRPr="00F57AF8" w:rsidRDefault="007E160F" w:rsidP="007E160F">
            <w:pPr>
              <w:numPr>
                <w:ilvl w:val="0"/>
                <w:numId w:val="28"/>
              </w:numPr>
              <w:spacing w:after="160"/>
              <w:rPr>
                <w:rFonts w:ascii="Times New Roman" w:hAnsi="Times New Roman" w:cs="Times New Roman"/>
              </w:rPr>
            </w:pPr>
            <w:r w:rsidRPr="00F57AF8">
              <w:rPr>
                <w:rFonts w:ascii="Times New Roman" w:hAnsi="Times New Roman" w:cs="Times New Roman"/>
              </w:rPr>
              <w:t>Marketing costs are rising while attention is harder to capture.</w:t>
            </w:r>
          </w:p>
          <w:p w14:paraId="379F7138" w14:textId="77777777" w:rsidR="007E160F" w:rsidRPr="00F57AF8" w:rsidRDefault="007E160F" w:rsidP="007E160F">
            <w:pPr>
              <w:numPr>
                <w:ilvl w:val="0"/>
                <w:numId w:val="28"/>
              </w:numPr>
              <w:spacing w:after="160"/>
              <w:rPr>
                <w:rFonts w:ascii="Times New Roman" w:hAnsi="Times New Roman" w:cs="Times New Roman"/>
              </w:rPr>
            </w:pPr>
            <w:r w:rsidRPr="00F57AF8">
              <w:rPr>
                <w:rFonts w:ascii="Times New Roman" w:hAnsi="Times New Roman" w:cs="Times New Roman"/>
              </w:rPr>
              <w:t>Pressure to justify spending with evidence rather than assumptions.</w:t>
            </w:r>
          </w:p>
          <w:p w14:paraId="7AC74A5B" w14:textId="77777777" w:rsidR="007E160F" w:rsidRPr="00F57AF8" w:rsidRDefault="007E160F" w:rsidP="007E160F">
            <w:pPr>
              <w:numPr>
                <w:ilvl w:val="0"/>
                <w:numId w:val="28"/>
              </w:numPr>
              <w:spacing w:after="160"/>
              <w:rPr>
                <w:rFonts w:ascii="Times New Roman" w:hAnsi="Times New Roman" w:cs="Times New Roman"/>
              </w:rPr>
            </w:pPr>
            <w:r w:rsidRPr="00F57AF8">
              <w:rPr>
                <w:rFonts w:ascii="Times New Roman" w:hAnsi="Times New Roman" w:cs="Times New Roman"/>
              </w:rPr>
              <w:t>Fragmented measurements across different marketing activities.</w:t>
            </w:r>
          </w:p>
          <w:p w14:paraId="4A7C7D2B" w14:textId="77777777" w:rsidR="007E160F" w:rsidRPr="00F57AF8" w:rsidRDefault="007E160F" w:rsidP="007E160F">
            <w:pPr>
              <w:numPr>
                <w:ilvl w:val="0"/>
                <w:numId w:val="28"/>
              </w:numPr>
              <w:spacing w:after="160"/>
              <w:rPr>
                <w:rFonts w:ascii="Times New Roman" w:hAnsi="Times New Roman" w:cs="Times New Roman"/>
              </w:rPr>
            </w:pPr>
            <w:r w:rsidRPr="00F57AF8">
              <w:rPr>
                <w:rFonts w:ascii="Times New Roman" w:hAnsi="Times New Roman" w:cs="Times New Roman"/>
              </w:rPr>
              <w:t>Skepticism from leadership when results are not clear.</w:t>
            </w:r>
          </w:p>
          <w:p w14:paraId="24DABB0E" w14:textId="77777777" w:rsidR="007E160F" w:rsidRPr="00F57AF8" w:rsidRDefault="007E160F" w:rsidP="007E160F">
            <w:pPr>
              <w:numPr>
                <w:ilvl w:val="0"/>
                <w:numId w:val="28"/>
              </w:numPr>
              <w:spacing w:after="160"/>
              <w:rPr>
                <w:rFonts w:ascii="Times New Roman" w:hAnsi="Times New Roman" w:cs="Times New Roman"/>
              </w:rPr>
            </w:pPr>
            <w:r w:rsidRPr="00F57AF8">
              <w:rPr>
                <w:rFonts w:ascii="Times New Roman" w:hAnsi="Times New Roman" w:cs="Times New Roman"/>
              </w:rPr>
              <w:t>Risk of reputational damage if community involvement feels superficial.</w:t>
            </w:r>
          </w:p>
          <w:p w14:paraId="7646D928" w14:textId="77777777" w:rsidR="007E160F" w:rsidRPr="00F57AF8" w:rsidRDefault="007E160F" w:rsidP="000E5D83">
            <w:pPr>
              <w:rPr>
                <w:rFonts w:ascii="Times New Roman" w:hAnsi="Times New Roman" w:cs="Times New Roman"/>
              </w:rPr>
            </w:pPr>
          </w:p>
        </w:tc>
        <w:tc>
          <w:tcPr>
            <w:tcW w:w="4675" w:type="dxa"/>
          </w:tcPr>
          <w:p w14:paraId="1705C1E7" w14:textId="77777777" w:rsidR="007E160F" w:rsidRPr="00F57AF8" w:rsidRDefault="007E160F" w:rsidP="000E5D83">
            <w:pPr>
              <w:spacing w:after="160"/>
              <w:jc w:val="center"/>
              <w:rPr>
                <w:rFonts w:ascii="Times New Roman" w:hAnsi="Times New Roman" w:cs="Times New Roman"/>
                <w:b/>
                <w:bCs/>
              </w:rPr>
            </w:pPr>
            <w:r w:rsidRPr="00F57AF8">
              <w:rPr>
                <w:rFonts w:ascii="Times New Roman" w:hAnsi="Times New Roman" w:cs="Times New Roman"/>
                <w:b/>
                <w:bCs/>
              </w:rPr>
              <w:t>Gains</w:t>
            </w:r>
          </w:p>
          <w:p w14:paraId="52EC83D3" w14:textId="77777777" w:rsidR="007E160F" w:rsidRPr="00F57AF8" w:rsidRDefault="007E160F" w:rsidP="007E160F">
            <w:pPr>
              <w:numPr>
                <w:ilvl w:val="0"/>
                <w:numId w:val="29"/>
              </w:numPr>
              <w:spacing w:after="160"/>
              <w:rPr>
                <w:rFonts w:ascii="Times New Roman" w:hAnsi="Times New Roman" w:cs="Times New Roman"/>
              </w:rPr>
            </w:pPr>
            <w:r w:rsidRPr="00F57AF8">
              <w:rPr>
                <w:rFonts w:ascii="Times New Roman" w:hAnsi="Times New Roman" w:cs="Times New Roman"/>
              </w:rPr>
              <w:t>Strong local reputation can reduce customer acquisition costs over time.</w:t>
            </w:r>
          </w:p>
          <w:p w14:paraId="568A0560" w14:textId="77777777" w:rsidR="007E160F" w:rsidRPr="00F57AF8" w:rsidRDefault="007E160F" w:rsidP="007E160F">
            <w:pPr>
              <w:numPr>
                <w:ilvl w:val="0"/>
                <w:numId w:val="29"/>
              </w:numPr>
              <w:spacing w:after="160"/>
              <w:rPr>
                <w:rFonts w:ascii="Times New Roman" w:hAnsi="Times New Roman" w:cs="Times New Roman"/>
              </w:rPr>
            </w:pPr>
            <w:r w:rsidRPr="00F57AF8">
              <w:rPr>
                <w:rFonts w:ascii="Times New Roman" w:hAnsi="Times New Roman" w:cs="Times New Roman"/>
              </w:rPr>
              <w:t>Partnerships can build trust faster than advertising alone.</w:t>
            </w:r>
          </w:p>
          <w:p w14:paraId="07FD17E8" w14:textId="77777777" w:rsidR="007E160F" w:rsidRPr="00F57AF8" w:rsidRDefault="007E160F" w:rsidP="007E160F">
            <w:pPr>
              <w:numPr>
                <w:ilvl w:val="0"/>
                <w:numId w:val="29"/>
              </w:numPr>
              <w:spacing w:after="160"/>
              <w:rPr>
                <w:rFonts w:ascii="Times New Roman" w:hAnsi="Times New Roman" w:cs="Times New Roman"/>
              </w:rPr>
            </w:pPr>
            <w:r w:rsidRPr="00F57AF8">
              <w:rPr>
                <w:rFonts w:ascii="Times New Roman" w:hAnsi="Times New Roman" w:cs="Times New Roman"/>
              </w:rPr>
              <w:t>Community involvement can strengthen employee pride and retention.</w:t>
            </w:r>
          </w:p>
          <w:p w14:paraId="138AE591" w14:textId="77777777" w:rsidR="007E160F" w:rsidRPr="00F57AF8" w:rsidRDefault="007E160F" w:rsidP="007E160F">
            <w:pPr>
              <w:numPr>
                <w:ilvl w:val="0"/>
                <w:numId w:val="29"/>
              </w:numPr>
              <w:spacing w:after="160"/>
              <w:rPr>
                <w:rFonts w:ascii="Times New Roman" w:hAnsi="Times New Roman" w:cs="Times New Roman"/>
              </w:rPr>
            </w:pPr>
            <w:r w:rsidRPr="00F57AF8">
              <w:rPr>
                <w:rFonts w:ascii="Times New Roman" w:hAnsi="Times New Roman" w:cs="Times New Roman"/>
              </w:rPr>
              <w:t>Interactive experiences can generate stronger recall than passive media.</w:t>
            </w:r>
          </w:p>
          <w:p w14:paraId="5295ADB0" w14:textId="77777777" w:rsidR="007E160F" w:rsidRPr="00F57AF8" w:rsidRDefault="007E160F" w:rsidP="007E160F">
            <w:pPr>
              <w:numPr>
                <w:ilvl w:val="0"/>
                <w:numId w:val="29"/>
              </w:numPr>
              <w:spacing w:after="160"/>
              <w:rPr>
                <w:rFonts w:ascii="Times New Roman" w:hAnsi="Times New Roman" w:cs="Times New Roman"/>
              </w:rPr>
            </w:pPr>
            <w:r w:rsidRPr="00F57AF8">
              <w:rPr>
                <w:rFonts w:ascii="Times New Roman" w:hAnsi="Times New Roman" w:cs="Times New Roman"/>
              </w:rPr>
              <w:t>Alignment with community causes can reinforce long term brand loyalty.</w:t>
            </w:r>
          </w:p>
          <w:p w14:paraId="533513C0" w14:textId="77777777" w:rsidR="007E160F" w:rsidRPr="00F57AF8" w:rsidRDefault="007E160F" w:rsidP="000E5D83">
            <w:pPr>
              <w:rPr>
                <w:rFonts w:ascii="Times New Roman" w:hAnsi="Times New Roman" w:cs="Times New Roman"/>
              </w:rPr>
            </w:pPr>
          </w:p>
        </w:tc>
      </w:tr>
    </w:tbl>
    <w:p w14:paraId="65C7241F"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lastRenderedPageBreak/>
        <w:t>Exiting Behaviors: Experience of the Enhancement</w:t>
      </w:r>
    </w:p>
    <w:p w14:paraId="23C1A3F6"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Within the Passport Journey system, the sponsor is not simply present. The sponsor participates as an activation partner by hosting a brief experience such as a photo booth or an educational interaction station that is tied to a stamp requirement. This creates intentional participation rather than relying on chance exposure. The sponsor’s role becomes structured and repeatable, with clear interaction points that can be observed and counted, and with messaging that can be aligned to education, youth development, or community support themes. The following table describes what Sponsors say and do upon interaction with our passport journey:</w:t>
      </w:r>
    </w:p>
    <w:tbl>
      <w:tblPr>
        <w:tblStyle w:val="TableGrid"/>
        <w:tblW w:w="0" w:type="auto"/>
        <w:tblLook w:val="04A0" w:firstRow="1" w:lastRow="0" w:firstColumn="1" w:lastColumn="0" w:noHBand="0" w:noVBand="1"/>
      </w:tblPr>
      <w:tblGrid>
        <w:gridCol w:w="4675"/>
        <w:gridCol w:w="4675"/>
      </w:tblGrid>
      <w:tr w:rsidR="007E160F" w14:paraId="2C1D278E" w14:textId="77777777" w:rsidTr="000E5D83">
        <w:tc>
          <w:tcPr>
            <w:tcW w:w="4675" w:type="dxa"/>
          </w:tcPr>
          <w:p w14:paraId="56BBE105" w14:textId="77777777" w:rsidR="007E160F" w:rsidRPr="00F57AF8" w:rsidRDefault="007E160F" w:rsidP="000E5D83">
            <w:pPr>
              <w:spacing w:after="160"/>
              <w:jc w:val="center"/>
              <w:rPr>
                <w:rFonts w:ascii="Times New Roman" w:hAnsi="Times New Roman" w:cs="Times New Roman"/>
                <w:b/>
                <w:bCs/>
              </w:rPr>
            </w:pPr>
            <w:proofErr w:type="gramStart"/>
            <w:r w:rsidRPr="00F57AF8">
              <w:rPr>
                <w:rFonts w:ascii="Times New Roman" w:hAnsi="Times New Roman" w:cs="Times New Roman"/>
                <w:b/>
                <w:bCs/>
              </w:rPr>
              <w:t>Say</w:t>
            </w:r>
            <w:proofErr w:type="gramEnd"/>
          </w:p>
          <w:p w14:paraId="00B44FB1" w14:textId="77777777" w:rsidR="007E160F" w:rsidRPr="00F57AF8" w:rsidRDefault="007E160F" w:rsidP="007E160F">
            <w:pPr>
              <w:numPr>
                <w:ilvl w:val="0"/>
                <w:numId w:val="30"/>
              </w:numPr>
              <w:spacing w:after="160"/>
              <w:rPr>
                <w:rFonts w:ascii="Times New Roman" w:hAnsi="Times New Roman" w:cs="Times New Roman"/>
              </w:rPr>
            </w:pPr>
            <w:r w:rsidRPr="00F57AF8">
              <w:rPr>
                <w:rFonts w:ascii="Times New Roman" w:hAnsi="Times New Roman" w:cs="Times New Roman"/>
              </w:rPr>
              <w:t>“This gave us direct interaction rather than passive exposure.”</w:t>
            </w:r>
          </w:p>
          <w:p w14:paraId="2061E8BC" w14:textId="77777777" w:rsidR="007E160F" w:rsidRPr="00F57AF8" w:rsidRDefault="007E160F" w:rsidP="007E160F">
            <w:pPr>
              <w:numPr>
                <w:ilvl w:val="0"/>
                <w:numId w:val="30"/>
              </w:numPr>
              <w:spacing w:after="160"/>
              <w:rPr>
                <w:rFonts w:ascii="Times New Roman" w:hAnsi="Times New Roman" w:cs="Times New Roman"/>
              </w:rPr>
            </w:pPr>
            <w:r w:rsidRPr="00F57AF8">
              <w:rPr>
                <w:rFonts w:ascii="Times New Roman" w:hAnsi="Times New Roman" w:cs="Times New Roman"/>
              </w:rPr>
              <w:t>“We can explain what people did with us, not just that we were there.”</w:t>
            </w:r>
          </w:p>
          <w:p w14:paraId="672A26F3" w14:textId="77777777" w:rsidR="007E160F" w:rsidRPr="00F57AF8" w:rsidRDefault="007E160F" w:rsidP="007E160F">
            <w:pPr>
              <w:numPr>
                <w:ilvl w:val="0"/>
                <w:numId w:val="30"/>
              </w:numPr>
              <w:spacing w:after="160"/>
              <w:rPr>
                <w:rFonts w:ascii="Times New Roman" w:hAnsi="Times New Roman" w:cs="Times New Roman"/>
              </w:rPr>
            </w:pPr>
            <w:r w:rsidRPr="00F57AF8">
              <w:rPr>
                <w:rFonts w:ascii="Times New Roman" w:hAnsi="Times New Roman" w:cs="Times New Roman"/>
              </w:rPr>
              <w:t>“This supports both brand visibility and community relevance.”</w:t>
            </w:r>
          </w:p>
          <w:p w14:paraId="57251586" w14:textId="77777777" w:rsidR="007E160F" w:rsidRPr="00F57AF8" w:rsidRDefault="007E160F" w:rsidP="007E160F">
            <w:pPr>
              <w:numPr>
                <w:ilvl w:val="0"/>
                <w:numId w:val="30"/>
              </w:numPr>
              <w:spacing w:after="160"/>
              <w:rPr>
                <w:rFonts w:ascii="Times New Roman" w:hAnsi="Times New Roman" w:cs="Times New Roman"/>
              </w:rPr>
            </w:pPr>
            <w:r w:rsidRPr="00F57AF8">
              <w:rPr>
                <w:rFonts w:ascii="Times New Roman" w:hAnsi="Times New Roman" w:cs="Times New Roman"/>
              </w:rPr>
              <w:t>“This is easier to defend internally.”</w:t>
            </w:r>
          </w:p>
          <w:p w14:paraId="44B7A4B9" w14:textId="77777777" w:rsidR="007E160F" w:rsidRPr="00F57AF8" w:rsidRDefault="007E160F" w:rsidP="000E5D83">
            <w:pPr>
              <w:rPr>
                <w:rFonts w:ascii="Times New Roman" w:hAnsi="Times New Roman" w:cs="Times New Roman"/>
              </w:rPr>
            </w:pPr>
          </w:p>
        </w:tc>
        <w:tc>
          <w:tcPr>
            <w:tcW w:w="4675" w:type="dxa"/>
          </w:tcPr>
          <w:p w14:paraId="54372E63" w14:textId="77777777" w:rsidR="007E160F" w:rsidRPr="00F57AF8" w:rsidRDefault="007E160F" w:rsidP="000E5D83">
            <w:pPr>
              <w:spacing w:after="160"/>
              <w:jc w:val="center"/>
              <w:rPr>
                <w:rFonts w:ascii="Times New Roman" w:hAnsi="Times New Roman" w:cs="Times New Roman"/>
                <w:b/>
                <w:bCs/>
              </w:rPr>
            </w:pPr>
            <w:r w:rsidRPr="00F57AF8">
              <w:rPr>
                <w:rFonts w:ascii="Times New Roman" w:hAnsi="Times New Roman" w:cs="Times New Roman"/>
                <w:b/>
                <w:bCs/>
              </w:rPr>
              <w:t>Do</w:t>
            </w:r>
          </w:p>
          <w:p w14:paraId="63FB7C5B" w14:textId="77777777" w:rsidR="007E160F" w:rsidRPr="00F57AF8" w:rsidRDefault="007E160F" w:rsidP="007E160F">
            <w:pPr>
              <w:numPr>
                <w:ilvl w:val="0"/>
                <w:numId w:val="31"/>
              </w:numPr>
              <w:spacing w:after="160"/>
              <w:rPr>
                <w:rFonts w:ascii="Times New Roman" w:hAnsi="Times New Roman" w:cs="Times New Roman"/>
              </w:rPr>
            </w:pPr>
            <w:r w:rsidRPr="00F57AF8">
              <w:rPr>
                <w:rFonts w:ascii="Times New Roman" w:hAnsi="Times New Roman" w:cs="Times New Roman"/>
              </w:rPr>
              <w:t>Document interaction volume using simple counts such as stamp validations or station participation.</w:t>
            </w:r>
          </w:p>
          <w:p w14:paraId="41DE9A95" w14:textId="77777777" w:rsidR="007E160F" w:rsidRPr="00F57AF8" w:rsidRDefault="007E160F" w:rsidP="007E160F">
            <w:pPr>
              <w:numPr>
                <w:ilvl w:val="0"/>
                <w:numId w:val="31"/>
              </w:numPr>
              <w:spacing w:after="160"/>
              <w:rPr>
                <w:rFonts w:ascii="Times New Roman" w:hAnsi="Times New Roman" w:cs="Times New Roman"/>
              </w:rPr>
            </w:pPr>
            <w:r w:rsidRPr="00F57AF8">
              <w:rPr>
                <w:rFonts w:ascii="Times New Roman" w:hAnsi="Times New Roman" w:cs="Times New Roman"/>
              </w:rPr>
              <w:t>Translate outcomes into internal reporting language such as engagement, reach, and community impact.</w:t>
            </w:r>
          </w:p>
          <w:p w14:paraId="13DD12B5" w14:textId="77777777" w:rsidR="007E160F" w:rsidRPr="00F57AF8" w:rsidRDefault="007E160F" w:rsidP="007E160F">
            <w:pPr>
              <w:numPr>
                <w:ilvl w:val="0"/>
                <w:numId w:val="31"/>
              </w:numPr>
              <w:spacing w:after="160"/>
              <w:rPr>
                <w:rFonts w:ascii="Times New Roman" w:hAnsi="Times New Roman" w:cs="Times New Roman"/>
              </w:rPr>
            </w:pPr>
            <w:r w:rsidRPr="00F57AF8">
              <w:rPr>
                <w:rFonts w:ascii="Times New Roman" w:hAnsi="Times New Roman" w:cs="Times New Roman"/>
              </w:rPr>
              <w:t>Reassess event partnerships using clearer success indicators.</w:t>
            </w:r>
          </w:p>
          <w:p w14:paraId="232375A9" w14:textId="77777777" w:rsidR="007E160F" w:rsidRPr="00F57AF8" w:rsidRDefault="007E160F" w:rsidP="007E160F">
            <w:pPr>
              <w:numPr>
                <w:ilvl w:val="0"/>
                <w:numId w:val="31"/>
              </w:numPr>
              <w:spacing w:after="160"/>
              <w:rPr>
                <w:rFonts w:ascii="Times New Roman" w:hAnsi="Times New Roman" w:cs="Times New Roman"/>
              </w:rPr>
            </w:pPr>
            <w:r w:rsidRPr="00F57AF8">
              <w:rPr>
                <w:rFonts w:ascii="Times New Roman" w:hAnsi="Times New Roman" w:cs="Times New Roman"/>
              </w:rPr>
              <w:t>Consider renewing or expanding participation if results align with goals.</w:t>
            </w:r>
          </w:p>
          <w:p w14:paraId="226587F3" w14:textId="77777777" w:rsidR="007E160F" w:rsidRPr="00F57AF8" w:rsidRDefault="007E160F" w:rsidP="007E160F">
            <w:pPr>
              <w:numPr>
                <w:ilvl w:val="0"/>
                <w:numId w:val="31"/>
              </w:numPr>
              <w:spacing w:after="160"/>
              <w:rPr>
                <w:rFonts w:ascii="Times New Roman" w:hAnsi="Times New Roman" w:cs="Times New Roman"/>
              </w:rPr>
            </w:pPr>
            <w:r w:rsidRPr="00F57AF8">
              <w:rPr>
                <w:rFonts w:ascii="Times New Roman" w:hAnsi="Times New Roman" w:cs="Times New Roman"/>
              </w:rPr>
              <w:t>Adapt future sponsorship choices toward structured experiential formats.</w:t>
            </w:r>
          </w:p>
        </w:tc>
      </w:tr>
    </w:tbl>
    <w:p w14:paraId="758347DA" w14:textId="77777777" w:rsidR="007E160F" w:rsidRPr="004A16E8" w:rsidRDefault="007E160F" w:rsidP="007E160F">
      <w:pPr>
        <w:spacing w:line="480" w:lineRule="auto"/>
      </w:pPr>
    </w:p>
    <w:p w14:paraId="48686B28" w14:textId="77777777" w:rsidR="007E160F" w:rsidRPr="00F57AF8" w:rsidRDefault="007E160F" w:rsidP="00F57AF8">
      <w:pPr>
        <w:spacing w:line="480" w:lineRule="auto"/>
        <w:rPr>
          <w:rFonts w:ascii="Times New Roman" w:hAnsi="Times New Roman" w:cs="Times New Roman"/>
          <w:b/>
          <w:bCs/>
          <w:sz w:val="24"/>
          <w:szCs w:val="24"/>
        </w:rPr>
      </w:pPr>
      <w:r w:rsidRPr="00F57AF8">
        <w:rPr>
          <w:rFonts w:ascii="Times New Roman" w:hAnsi="Times New Roman" w:cs="Times New Roman"/>
          <w:b/>
          <w:bCs/>
          <w:sz w:val="24"/>
          <w:szCs w:val="24"/>
        </w:rPr>
        <w:t>Connection Between Entering and Exiting Behaviors for Sponsors</w:t>
      </w:r>
    </w:p>
    <w:p w14:paraId="68E3CC33"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The enhancement aligns with the sponsor’s broader organizational reality because it responds to two persistent needs: measurable engagement and credible community relevance. By converting event participation into structured interaction, the passport system makes sponsorship easier to justify internally and more likely to generate outcomes that can be communicated to leadership, stakeholders, and the public.</w:t>
      </w:r>
    </w:p>
    <w:p w14:paraId="760E20D2" w14:textId="77777777" w:rsidR="007E160F" w:rsidRPr="00F57AF8" w:rsidRDefault="007E160F" w:rsidP="00F57AF8">
      <w:pPr>
        <w:spacing w:line="480" w:lineRule="auto"/>
        <w:rPr>
          <w:rFonts w:ascii="Times New Roman" w:hAnsi="Times New Roman" w:cs="Times New Roman"/>
          <w:sz w:val="24"/>
          <w:szCs w:val="24"/>
        </w:rPr>
      </w:pPr>
      <w:r w:rsidRPr="00F57AF8">
        <w:rPr>
          <w:rFonts w:ascii="Times New Roman" w:hAnsi="Times New Roman" w:cs="Times New Roman"/>
          <w:b/>
          <w:bCs/>
          <w:sz w:val="24"/>
          <w:szCs w:val="24"/>
        </w:rPr>
        <w:lastRenderedPageBreak/>
        <w:t>Rationale for the Proposed Addition</w:t>
      </w:r>
    </w:p>
    <w:p w14:paraId="170E1CD7" w14:textId="77777777"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Despite high attendance and strong educational content, many youth participants, especially teenagers and young adults, experience the fair primarily as an entertainment venue. They often miss the deeper learning, agricultural awareness, and community impact elements that define the fair’s nonprofit mission. Sponsors, meanwhile, frequently receive only passive visibility with limited direct youth engagement and measurable outcomes.</w:t>
      </w:r>
    </w:p>
    <w:p w14:paraId="13752406" w14:textId="77777777" w:rsidR="007E160F" w:rsidRPr="00F57AF8" w:rsidRDefault="007E160F" w:rsidP="007E160F">
      <w:pPr>
        <w:spacing w:line="240" w:lineRule="auto"/>
        <w:rPr>
          <w:rFonts w:ascii="Times New Roman" w:hAnsi="Times New Roman" w:cs="Times New Roman"/>
          <w:sz w:val="24"/>
          <w:szCs w:val="24"/>
        </w:rPr>
      </w:pPr>
      <w:r w:rsidRPr="00F57AF8">
        <w:rPr>
          <w:rFonts w:ascii="Times New Roman" w:hAnsi="Times New Roman" w:cs="Times New Roman"/>
          <w:sz w:val="24"/>
          <w:szCs w:val="24"/>
        </w:rPr>
        <w:t>The Passport Journey addresses these gaps by introducing an optional, gamified journey that:</w:t>
      </w:r>
    </w:p>
    <w:p w14:paraId="0FF3AB56" w14:textId="77777777" w:rsidR="007E160F" w:rsidRPr="00F57AF8" w:rsidRDefault="007E160F" w:rsidP="007E160F">
      <w:pPr>
        <w:numPr>
          <w:ilvl w:val="0"/>
          <w:numId w:val="32"/>
        </w:numPr>
        <w:spacing w:line="240" w:lineRule="auto"/>
        <w:rPr>
          <w:rFonts w:ascii="Times New Roman" w:hAnsi="Times New Roman" w:cs="Times New Roman"/>
          <w:sz w:val="24"/>
          <w:szCs w:val="24"/>
        </w:rPr>
      </w:pPr>
      <w:r w:rsidRPr="00F57AF8">
        <w:rPr>
          <w:rFonts w:ascii="Times New Roman" w:hAnsi="Times New Roman" w:cs="Times New Roman"/>
          <w:sz w:val="24"/>
          <w:szCs w:val="24"/>
        </w:rPr>
        <w:t>Guides youth through four structured but flexible learning stages across the fairgrounds</w:t>
      </w:r>
    </w:p>
    <w:p w14:paraId="1200BBB7" w14:textId="77777777" w:rsidR="007E160F" w:rsidRPr="00F57AF8" w:rsidRDefault="007E160F" w:rsidP="007E160F">
      <w:pPr>
        <w:numPr>
          <w:ilvl w:val="0"/>
          <w:numId w:val="32"/>
        </w:numPr>
        <w:spacing w:line="240" w:lineRule="auto"/>
        <w:rPr>
          <w:rFonts w:ascii="Times New Roman" w:hAnsi="Times New Roman" w:cs="Times New Roman"/>
          <w:sz w:val="24"/>
          <w:szCs w:val="24"/>
        </w:rPr>
      </w:pPr>
      <w:r w:rsidRPr="00F57AF8">
        <w:rPr>
          <w:rFonts w:ascii="Times New Roman" w:hAnsi="Times New Roman" w:cs="Times New Roman"/>
          <w:sz w:val="24"/>
          <w:szCs w:val="24"/>
        </w:rPr>
        <w:t>Redistributes foot traffic to underutilized educational and community zones</w:t>
      </w:r>
    </w:p>
    <w:p w14:paraId="412E1B2B" w14:textId="77777777" w:rsidR="007E160F" w:rsidRPr="00F57AF8" w:rsidRDefault="007E160F" w:rsidP="007E160F">
      <w:pPr>
        <w:numPr>
          <w:ilvl w:val="0"/>
          <w:numId w:val="32"/>
        </w:numPr>
        <w:spacing w:line="240" w:lineRule="auto"/>
        <w:rPr>
          <w:rFonts w:ascii="Times New Roman" w:hAnsi="Times New Roman" w:cs="Times New Roman"/>
          <w:sz w:val="24"/>
          <w:szCs w:val="24"/>
        </w:rPr>
      </w:pPr>
      <w:r w:rsidRPr="00F57AF8">
        <w:rPr>
          <w:rFonts w:ascii="Times New Roman" w:hAnsi="Times New Roman" w:cs="Times New Roman"/>
          <w:sz w:val="24"/>
          <w:szCs w:val="24"/>
        </w:rPr>
        <w:t>Increases meaningful sponsor interaction and measurable value</w:t>
      </w:r>
    </w:p>
    <w:p w14:paraId="20D52999" w14:textId="77777777" w:rsidR="007E160F" w:rsidRPr="00F57AF8" w:rsidRDefault="007E160F" w:rsidP="007E160F">
      <w:pPr>
        <w:numPr>
          <w:ilvl w:val="0"/>
          <w:numId w:val="32"/>
        </w:numPr>
        <w:spacing w:line="240" w:lineRule="auto"/>
        <w:rPr>
          <w:rFonts w:ascii="Times New Roman" w:hAnsi="Times New Roman" w:cs="Times New Roman"/>
          <w:sz w:val="24"/>
          <w:szCs w:val="24"/>
        </w:rPr>
      </w:pPr>
      <w:r w:rsidRPr="00F57AF8">
        <w:rPr>
          <w:rFonts w:ascii="Times New Roman" w:hAnsi="Times New Roman" w:cs="Times New Roman"/>
          <w:sz w:val="24"/>
          <w:szCs w:val="24"/>
        </w:rPr>
        <w:t>Reinforces the fair’s educational mission and scholarship impacts</w:t>
      </w:r>
    </w:p>
    <w:p w14:paraId="2CA9986B" w14:textId="77777777" w:rsidR="007E160F" w:rsidRPr="00F57AF8" w:rsidRDefault="007E160F" w:rsidP="007E160F">
      <w:pPr>
        <w:numPr>
          <w:ilvl w:val="0"/>
          <w:numId w:val="32"/>
        </w:numPr>
        <w:spacing w:line="480" w:lineRule="auto"/>
        <w:rPr>
          <w:rFonts w:ascii="Times New Roman" w:hAnsi="Times New Roman" w:cs="Times New Roman"/>
          <w:sz w:val="24"/>
          <w:szCs w:val="24"/>
        </w:rPr>
      </w:pPr>
      <w:r w:rsidRPr="00F57AF8">
        <w:rPr>
          <w:rFonts w:ascii="Times New Roman" w:hAnsi="Times New Roman" w:cs="Times New Roman"/>
          <w:sz w:val="24"/>
          <w:szCs w:val="24"/>
        </w:rPr>
        <w:t>Encourages repeat visits and deeper emotional connection</w:t>
      </w:r>
    </w:p>
    <w:p w14:paraId="54F8F2D0" w14:textId="0CFC7F89" w:rsidR="007E160F" w:rsidRPr="00F57AF8" w:rsidRDefault="007E160F" w:rsidP="00F57AF8">
      <w:pPr>
        <w:spacing w:line="480" w:lineRule="auto"/>
        <w:ind w:firstLine="720"/>
        <w:rPr>
          <w:rFonts w:ascii="Times New Roman" w:hAnsi="Times New Roman" w:cs="Times New Roman"/>
          <w:sz w:val="24"/>
          <w:szCs w:val="24"/>
        </w:rPr>
      </w:pPr>
      <w:r w:rsidRPr="00F57AF8">
        <w:rPr>
          <w:rFonts w:ascii="Times New Roman" w:hAnsi="Times New Roman" w:cs="Times New Roman"/>
          <w:sz w:val="24"/>
          <w:szCs w:val="24"/>
        </w:rPr>
        <w:t>This enhancement uses existing infrastructure, such as spaces, programming and staff, and sponsor partnerships to keep costs low while creating new sponsorship activation categories and increasing dwell time which is potential revenue uplift.</w:t>
      </w:r>
      <w:r>
        <w:rPr>
          <w:b/>
          <w:bCs/>
        </w:rPr>
        <w:br w:type="page"/>
      </w:r>
    </w:p>
    <w:p w14:paraId="6D87E92E" w14:textId="77777777" w:rsidR="007E160F" w:rsidRPr="00F57AF8" w:rsidRDefault="007E160F" w:rsidP="007E160F">
      <w:pPr>
        <w:spacing w:line="480" w:lineRule="auto"/>
        <w:rPr>
          <w:rFonts w:ascii="Times New Roman" w:hAnsi="Times New Roman" w:cs="Times New Roman"/>
          <w:b/>
          <w:bCs/>
        </w:rPr>
      </w:pPr>
      <w:r w:rsidRPr="00F57AF8">
        <w:rPr>
          <w:rFonts w:ascii="Times New Roman" w:hAnsi="Times New Roman" w:cs="Times New Roman"/>
          <w:b/>
          <w:bCs/>
        </w:rPr>
        <w:lastRenderedPageBreak/>
        <w:t>Appendices:</w:t>
      </w:r>
    </w:p>
    <w:p w14:paraId="12098A4A" w14:textId="77777777" w:rsidR="007E160F" w:rsidRPr="00F57AF8" w:rsidRDefault="007E160F" w:rsidP="007E160F">
      <w:pPr>
        <w:spacing w:line="480" w:lineRule="auto"/>
        <w:rPr>
          <w:rFonts w:ascii="Times New Roman" w:hAnsi="Times New Roman" w:cs="Times New Roman"/>
          <w:b/>
          <w:bCs/>
        </w:rPr>
      </w:pPr>
      <w:r w:rsidRPr="00F57AF8">
        <w:rPr>
          <w:rFonts w:ascii="Times New Roman" w:hAnsi="Times New Roman" w:cs="Times New Roman"/>
          <w:b/>
          <w:bCs/>
        </w:rPr>
        <w:t>A: Financial Statement over the years 2019 - 2024</w:t>
      </w:r>
    </w:p>
    <w:tbl>
      <w:tblPr>
        <w:tblW w:w="0" w:type="auto"/>
        <w:tblCellMar>
          <w:top w:w="15" w:type="dxa"/>
          <w:left w:w="15" w:type="dxa"/>
          <w:bottom w:w="15" w:type="dxa"/>
          <w:right w:w="15" w:type="dxa"/>
        </w:tblCellMar>
        <w:tblLook w:val="04A0" w:firstRow="1" w:lastRow="0" w:firstColumn="1" w:lastColumn="0" w:noHBand="0" w:noVBand="1"/>
      </w:tblPr>
      <w:tblGrid>
        <w:gridCol w:w="866"/>
        <w:gridCol w:w="1467"/>
        <w:gridCol w:w="1487"/>
        <w:gridCol w:w="1309"/>
        <w:gridCol w:w="1393"/>
        <w:gridCol w:w="1477"/>
        <w:gridCol w:w="1345"/>
      </w:tblGrid>
      <w:tr w:rsidR="007E160F" w:rsidRPr="00F57AF8" w14:paraId="02D8D779" w14:textId="77777777" w:rsidTr="000E5D83">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hideMark/>
          </w:tcPr>
          <w:p w14:paraId="130B0709"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Fiscal Year</w:t>
            </w:r>
          </w:p>
        </w:tc>
        <w:tc>
          <w:tcPr>
            <w:tcW w:w="0" w:type="auto"/>
            <w:tcBorders>
              <w:top w:val="single" w:sz="6" w:space="0" w:color="000000"/>
              <w:left w:val="single" w:sz="6" w:space="0" w:color="000000"/>
              <w:bottom w:val="single" w:sz="6" w:space="0" w:color="000000"/>
              <w:right w:val="single" w:sz="6" w:space="0" w:color="000000"/>
            </w:tcBorders>
            <w:shd w:val="clear" w:color="auto" w:fill="04A2FF"/>
            <w:tcMar>
              <w:top w:w="0" w:type="dxa"/>
              <w:left w:w="80" w:type="dxa"/>
              <w:bottom w:w="0" w:type="dxa"/>
              <w:right w:w="80" w:type="dxa"/>
            </w:tcMar>
            <w:vAlign w:val="center"/>
            <w:hideMark/>
          </w:tcPr>
          <w:p w14:paraId="2919A90E"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Total Revenue (USD)</w:t>
            </w:r>
          </w:p>
        </w:tc>
        <w:tc>
          <w:tcPr>
            <w:tcW w:w="0" w:type="auto"/>
            <w:tcBorders>
              <w:top w:val="single" w:sz="6" w:space="0" w:color="000000"/>
              <w:left w:val="single" w:sz="6" w:space="0" w:color="000000"/>
              <w:bottom w:val="single" w:sz="6" w:space="0" w:color="000000"/>
              <w:right w:val="single" w:sz="6" w:space="0" w:color="000000"/>
            </w:tcBorders>
            <w:shd w:val="clear" w:color="auto" w:fill="5BDB30"/>
            <w:tcMar>
              <w:top w:w="0" w:type="dxa"/>
              <w:left w:w="80" w:type="dxa"/>
              <w:bottom w:w="0" w:type="dxa"/>
              <w:right w:w="80" w:type="dxa"/>
            </w:tcMar>
            <w:vAlign w:val="center"/>
            <w:hideMark/>
          </w:tcPr>
          <w:p w14:paraId="58774E2F"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Total Expenses (USD)</w:t>
            </w:r>
          </w:p>
        </w:tc>
        <w:tc>
          <w:tcPr>
            <w:tcW w:w="0" w:type="auto"/>
            <w:tcBorders>
              <w:top w:val="single" w:sz="6" w:space="0" w:color="000000"/>
              <w:left w:val="single" w:sz="6" w:space="0" w:color="000000"/>
              <w:bottom w:val="single" w:sz="6" w:space="0" w:color="000000"/>
              <w:right w:val="single" w:sz="6" w:space="0" w:color="000000"/>
            </w:tcBorders>
            <w:shd w:val="clear" w:color="auto" w:fill="929292"/>
            <w:tcMar>
              <w:top w:w="0" w:type="dxa"/>
              <w:left w:w="80" w:type="dxa"/>
              <w:bottom w:w="0" w:type="dxa"/>
              <w:right w:w="80" w:type="dxa"/>
            </w:tcMar>
            <w:vAlign w:val="center"/>
            <w:hideMark/>
          </w:tcPr>
          <w:p w14:paraId="73FF4194"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Net Income (USD)</w:t>
            </w:r>
          </w:p>
        </w:tc>
        <w:tc>
          <w:tcPr>
            <w:tcW w:w="0" w:type="auto"/>
            <w:tcBorders>
              <w:top w:val="single" w:sz="6" w:space="0" w:color="000000"/>
              <w:left w:val="single" w:sz="6" w:space="0" w:color="000000"/>
              <w:bottom w:val="single" w:sz="6" w:space="0" w:color="000000"/>
              <w:right w:val="single" w:sz="6" w:space="0" w:color="000000"/>
            </w:tcBorders>
            <w:shd w:val="clear" w:color="auto" w:fill="F8BB04"/>
            <w:tcMar>
              <w:top w:w="0" w:type="dxa"/>
              <w:left w:w="80" w:type="dxa"/>
              <w:bottom w:w="0" w:type="dxa"/>
              <w:right w:w="80" w:type="dxa"/>
            </w:tcMar>
            <w:vAlign w:val="center"/>
            <w:hideMark/>
          </w:tcPr>
          <w:p w14:paraId="2283C92C"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Total Assets (USD)</w:t>
            </w:r>
          </w:p>
        </w:tc>
        <w:tc>
          <w:tcPr>
            <w:tcW w:w="0" w:type="auto"/>
            <w:tcBorders>
              <w:top w:val="single" w:sz="6" w:space="0" w:color="000000"/>
              <w:left w:val="single" w:sz="6" w:space="0" w:color="000000"/>
              <w:bottom w:val="single" w:sz="6" w:space="0" w:color="000000"/>
              <w:right w:val="single" w:sz="6" w:space="0" w:color="000000"/>
            </w:tcBorders>
            <w:shd w:val="clear" w:color="auto" w:fill="FF2307"/>
            <w:tcMar>
              <w:top w:w="0" w:type="dxa"/>
              <w:left w:w="80" w:type="dxa"/>
              <w:bottom w:w="0" w:type="dxa"/>
              <w:right w:w="80" w:type="dxa"/>
            </w:tcMar>
            <w:vAlign w:val="center"/>
            <w:hideMark/>
          </w:tcPr>
          <w:p w14:paraId="34C960F2"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Total Liabilities (USD)</w:t>
            </w:r>
          </w:p>
        </w:tc>
        <w:tc>
          <w:tcPr>
            <w:tcW w:w="0" w:type="auto"/>
            <w:tcBorders>
              <w:top w:val="single" w:sz="6" w:space="0" w:color="000000"/>
              <w:left w:val="single" w:sz="6" w:space="0" w:color="000000"/>
              <w:bottom w:val="single" w:sz="6" w:space="0" w:color="000000"/>
              <w:right w:val="single" w:sz="6" w:space="0" w:color="000000"/>
            </w:tcBorders>
            <w:shd w:val="clear" w:color="auto" w:fill="D4187A"/>
            <w:tcMar>
              <w:top w:w="0" w:type="dxa"/>
              <w:left w:w="80" w:type="dxa"/>
              <w:bottom w:w="0" w:type="dxa"/>
              <w:right w:w="80" w:type="dxa"/>
            </w:tcMar>
            <w:vAlign w:val="center"/>
            <w:hideMark/>
          </w:tcPr>
          <w:p w14:paraId="2C98F417" w14:textId="77777777" w:rsidR="007E160F" w:rsidRPr="00F57AF8" w:rsidRDefault="007E160F" w:rsidP="000E5D83">
            <w:pPr>
              <w:spacing w:line="240" w:lineRule="auto"/>
              <w:jc w:val="center"/>
              <w:rPr>
                <w:rFonts w:ascii="Times New Roman" w:hAnsi="Times New Roman" w:cs="Times New Roman"/>
                <w:b/>
                <w:bCs/>
                <w:color w:val="000000" w:themeColor="text1"/>
              </w:rPr>
            </w:pPr>
            <w:r w:rsidRPr="00F57AF8">
              <w:rPr>
                <w:rFonts w:ascii="Times New Roman" w:hAnsi="Times New Roman" w:cs="Times New Roman"/>
                <w:b/>
                <w:bCs/>
                <w:color w:val="000000" w:themeColor="text1"/>
              </w:rPr>
              <w:t>Net Assets (USD)</w:t>
            </w:r>
          </w:p>
        </w:tc>
      </w:tr>
      <w:tr w:rsidR="007E160F" w:rsidRPr="00F57AF8" w14:paraId="3D6806DD"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3CEEA83"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2024</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4078E37" w14:textId="40D3B53C"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231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191</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0E7B0AA" w14:textId="185F9342"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285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318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3715E0D" w14:textId="2D28EFFC"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054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127</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F31C89A" w14:textId="3A488035"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17</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854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558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3E99869" w14:textId="4FB9DA13"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455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550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388AD2A" w14:textId="04C0D6A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399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008</w:t>
            </w:r>
          </w:p>
        </w:tc>
      </w:tr>
      <w:tr w:rsidR="007E160F" w:rsidRPr="00F57AF8" w14:paraId="4AFCB07E"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ADC279F"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AE8E8B6" w14:textId="6B0F96F5"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472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935</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43461CF" w14:textId="2C46158A"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555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910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8993E48" w14:textId="168B69A5"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-82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975</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9F72234" w14:textId="7FB4CC3F"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980</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511</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8E7FAC2" w14:textId="384408EA"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181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546</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68BC475" w14:textId="571BFA5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18</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798</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965</w:t>
            </w:r>
          </w:p>
        </w:tc>
      </w:tr>
      <w:tr w:rsidR="007E160F" w:rsidRPr="00F57AF8" w14:paraId="5F9DC795"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B0BB281"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2022</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ACBEBCF" w14:textId="5626DC92"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23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342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868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C224216" w14:textId="05873E12"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846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362</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94E1066" w14:textId="7F64A771"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7</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496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506</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2D7DAB2" w14:textId="77B84A6A"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20</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009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053</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DED96A3" w14:textId="749E634A"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373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589</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EB8B8FF" w14:textId="6216362A"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18</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635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464</w:t>
            </w:r>
          </w:p>
        </w:tc>
      </w:tr>
      <w:tr w:rsidR="007E160F" w:rsidRPr="00F57AF8" w14:paraId="1D9CD7E8"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2FE7AC4"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2021</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7B890AA" w14:textId="1AAC9101"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609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357</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E928CF8" w14:textId="7D8F2C18"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163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714</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736DD50" w14:textId="5378935C"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-554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357</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ED50A06" w14:textId="0ECEF8C1"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839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845</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DEE585A" w14:textId="62039B4B"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237</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544</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BC05C2B" w14:textId="7ED3C51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602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301</w:t>
            </w:r>
          </w:p>
        </w:tc>
      </w:tr>
      <w:tr w:rsidR="007E160F" w:rsidRPr="00F57AF8" w14:paraId="16301B56"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513A38B"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2020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D75D12D" w14:textId="5F14523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720</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352</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BE6A8B4" w14:textId="4938A1BC"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8</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583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767</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AE2D6E2" w14:textId="239B78D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863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415</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B5A7F9A" w14:textId="75645ED6"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666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768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9DE3F8A" w14:textId="4B6115F0"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011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458</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E387011" w14:textId="49E38981"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11</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655</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310</w:t>
            </w:r>
          </w:p>
        </w:tc>
      </w:tr>
      <w:tr w:rsidR="007E160F" w:rsidRPr="00F57AF8" w14:paraId="5A03B896" w14:textId="77777777" w:rsidTr="000E5D83">
        <w:trPr>
          <w:trHeight w:val="210"/>
        </w:trPr>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E957FF1" w14:textId="77777777" w:rsidR="007E160F" w:rsidRPr="00F57AF8" w:rsidRDefault="007E160F" w:rsidP="000E5D83">
            <w:pPr>
              <w:spacing w:line="240" w:lineRule="auto"/>
              <w:jc w:val="center"/>
              <w:rPr>
                <w:rFonts w:ascii="Times New Roman" w:hAnsi="Times New Roman" w:cs="Times New Roman"/>
                <w:b/>
                <w:bCs/>
              </w:rPr>
            </w:pPr>
            <w:r w:rsidRPr="00F57AF8">
              <w:rPr>
                <w:rFonts w:ascii="Times New Roman" w:hAnsi="Times New Roman" w:cs="Times New Roman"/>
                <w:b/>
                <w:bCs/>
              </w:rPr>
              <w:t>2019</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85A2840" w14:textId="6ADD4E84"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506</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166</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5C70814" w14:textId="4E34EB06"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12</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790</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556</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F8D9F2A" w14:textId="1E779E1C"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-284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390</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71FD511" w14:textId="10594B29"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19</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787</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884</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B3DB99B" w14:textId="66936FC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854</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434</w:t>
            </w:r>
          </w:p>
        </w:tc>
        <w:tc>
          <w:tcPr>
            <w:tcW w:w="0" w:type="auto"/>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A062D45" w14:textId="74B163F7" w:rsidR="007E160F" w:rsidRPr="00F57AF8" w:rsidRDefault="007E160F" w:rsidP="000E5D83">
            <w:pPr>
              <w:spacing w:line="240" w:lineRule="auto"/>
              <w:jc w:val="center"/>
              <w:rPr>
                <w:rFonts w:ascii="Times New Roman" w:hAnsi="Times New Roman" w:cs="Times New Roman"/>
                <w:color w:val="000000" w:themeColor="text1"/>
              </w:rPr>
            </w:pPr>
            <w:r w:rsidRPr="00F57AF8">
              <w:rPr>
                <w:rFonts w:ascii="Times New Roman" w:hAnsi="Times New Roman" w:cs="Times New Roman"/>
                <w:color w:val="000000" w:themeColor="text1"/>
              </w:rPr>
              <w:t>18</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933</w:t>
            </w:r>
            <w:r w:rsidR="00F57AF8" w:rsidRPr="00F57AF8">
              <w:rPr>
                <w:rFonts w:ascii="Times New Roman" w:hAnsi="Times New Roman" w:cs="Times New Roman"/>
                <w:color w:val="000000" w:themeColor="text1"/>
              </w:rPr>
              <w:t>,</w:t>
            </w:r>
            <w:r w:rsidRPr="00F57AF8">
              <w:rPr>
                <w:rFonts w:ascii="Times New Roman" w:hAnsi="Times New Roman" w:cs="Times New Roman"/>
                <w:color w:val="000000" w:themeColor="text1"/>
              </w:rPr>
              <w:t>450</w:t>
            </w:r>
          </w:p>
        </w:tc>
      </w:tr>
    </w:tbl>
    <w:p w14:paraId="5BCD2A62" w14:textId="77777777" w:rsidR="007E160F" w:rsidRPr="00B27C1D" w:rsidRDefault="007E160F" w:rsidP="007E160F">
      <w:pPr>
        <w:spacing w:line="480" w:lineRule="auto"/>
        <w:rPr>
          <w:b/>
          <w:bCs/>
        </w:rPr>
      </w:pPr>
    </w:p>
    <w:p w14:paraId="68DFCDE9" w14:textId="77777777" w:rsidR="007E160F" w:rsidRDefault="007E160F" w:rsidP="007E160F">
      <w:pPr>
        <w:spacing w:line="480" w:lineRule="auto"/>
        <w:rPr>
          <w:b/>
          <w:bCs/>
        </w:rPr>
      </w:pPr>
      <w:r w:rsidRPr="00B27C1D">
        <w:rPr>
          <w:b/>
          <w:bCs/>
          <w:noProof/>
        </w:rPr>
        <w:drawing>
          <wp:inline distT="0" distB="0" distL="0" distR="0" wp14:anchorId="44A35DAF" wp14:editId="4A4DDEA9">
            <wp:extent cx="5987562" cy="4175760"/>
            <wp:effectExtent l="0" t="0" r="0" b="2540"/>
            <wp:docPr id="12217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3551" cy="4221781"/>
                    </a:xfrm>
                    <a:prstGeom prst="rect">
                      <a:avLst/>
                    </a:prstGeom>
                    <a:noFill/>
                    <a:ln>
                      <a:noFill/>
                    </a:ln>
                  </pic:spPr>
                </pic:pic>
              </a:graphicData>
            </a:graphic>
          </wp:inline>
        </w:drawing>
      </w:r>
    </w:p>
    <w:p w14:paraId="6CEB5B74" w14:textId="77777777" w:rsidR="007E160F" w:rsidRPr="00F57AF8" w:rsidRDefault="007E160F" w:rsidP="007E160F">
      <w:pPr>
        <w:spacing w:line="480" w:lineRule="auto"/>
        <w:rPr>
          <w:rFonts w:ascii="Times New Roman" w:hAnsi="Times New Roman" w:cs="Times New Roman"/>
          <w:b/>
          <w:bCs/>
        </w:rPr>
      </w:pPr>
      <w:r w:rsidRPr="00F57AF8">
        <w:rPr>
          <w:rFonts w:ascii="Times New Roman" w:hAnsi="Times New Roman" w:cs="Times New Roman"/>
          <w:b/>
          <w:bCs/>
        </w:rPr>
        <w:t>B: Key Stakeholders and Their Roles</w:t>
      </w:r>
    </w:p>
    <w:tbl>
      <w:tblPr>
        <w:tblW w:w="0" w:type="auto"/>
        <w:tblCellMar>
          <w:top w:w="15" w:type="dxa"/>
          <w:left w:w="15" w:type="dxa"/>
          <w:bottom w:w="15" w:type="dxa"/>
          <w:right w:w="15" w:type="dxa"/>
        </w:tblCellMar>
        <w:tblLook w:val="04A0" w:firstRow="1" w:lastRow="0" w:firstColumn="1" w:lastColumn="0" w:noHBand="0" w:noVBand="1"/>
      </w:tblPr>
      <w:tblGrid>
        <w:gridCol w:w="2123"/>
        <w:gridCol w:w="3303"/>
        <w:gridCol w:w="3918"/>
      </w:tblGrid>
      <w:tr w:rsidR="007E160F" w:rsidRPr="00B27C1D" w14:paraId="1AEEE888" w14:textId="77777777" w:rsidTr="000E5D83">
        <w:trPr>
          <w:trHeight w:val="765"/>
        </w:trPr>
        <w:tc>
          <w:tcPr>
            <w:tcW w:w="0" w:type="auto"/>
            <w:tcBorders>
              <w:top w:val="single" w:sz="6" w:space="0" w:color="000000"/>
              <w:left w:val="single" w:sz="6" w:space="0" w:color="000000"/>
              <w:bottom w:val="single" w:sz="6" w:space="0" w:color="000000"/>
              <w:right w:val="single" w:sz="6" w:space="0" w:color="000000"/>
            </w:tcBorders>
            <w:shd w:val="clear" w:color="auto" w:fill="E97132"/>
            <w:tcMar>
              <w:top w:w="100" w:type="dxa"/>
              <w:left w:w="100" w:type="dxa"/>
              <w:bottom w:w="100" w:type="dxa"/>
              <w:right w:w="100" w:type="dxa"/>
            </w:tcMar>
            <w:hideMark/>
          </w:tcPr>
          <w:p w14:paraId="1C205BFE"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lastRenderedPageBreak/>
              <w:t>Stakeholder</w:t>
            </w:r>
          </w:p>
        </w:tc>
        <w:tc>
          <w:tcPr>
            <w:tcW w:w="0" w:type="auto"/>
            <w:tcBorders>
              <w:top w:val="single" w:sz="6" w:space="0" w:color="000000"/>
              <w:left w:val="single" w:sz="6" w:space="0" w:color="000000"/>
              <w:bottom w:val="single" w:sz="6" w:space="0" w:color="000000"/>
              <w:right w:val="single" w:sz="6" w:space="0" w:color="000000"/>
            </w:tcBorders>
            <w:shd w:val="clear" w:color="auto" w:fill="E97132"/>
            <w:tcMar>
              <w:top w:w="100" w:type="dxa"/>
              <w:left w:w="100" w:type="dxa"/>
              <w:bottom w:w="100" w:type="dxa"/>
              <w:right w:w="100" w:type="dxa"/>
            </w:tcMar>
            <w:hideMark/>
          </w:tcPr>
          <w:p w14:paraId="2075D380"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Primary Role in the Enhancement</w:t>
            </w:r>
          </w:p>
        </w:tc>
        <w:tc>
          <w:tcPr>
            <w:tcW w:w="0" w:type="auto"/>
            <w:tcBorders>
              <w:top w:val="single" w:sz="6" w:space="0" w:color="000000"/>
              <w:left w:val="single" w:sz="6" w:space="0" w:color="000000"/>
              <w:bottom w:val="single" w:sz="6" w:space="0" w:color="000000"/>
              <w:right w:val="single" w:sz="6" w:space="0" w:color="000000"/>
            </w:tcBorders>
            <w:shd w:val="clear" w:color="auto" w:fill="E97132"/>
            <w:tcMar>
              <w:top w:w="100" w:type="dxa"/>
              <w:left w:w="100" w:type="dxa"/>
              <w:bottom w:w="100" w:type="dxa"/>
              <w:right w:w="100" w:type="dxa"/>
            </w:tcMar>
            <w:hideMark/>
          </w:tcPr>
          <w:p w14:paraId="633FA020"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Benefit / Value Received</w:t>
            </w:r>
          </w:p>
        </w:tc>
      </w:tr>
      <w:tr w:rsidR="007E160F" w:rsidRPr="00B27C1D" w14:paraId="5F201E8A" w14:textId="77777777" w:rsidTr="000E5D83">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FFC000"/>
            <w:tcMar>
              <w:top w:w="100" w:type="dxa"/>
              <w:left w:w="100" w:type="dxa"/>
              <w:bottom w:w="100" w:type="dxa"/>
              <w:right w:w="100" w:type="dxa"/>
            </w:tcMar>
            <w:hideMark/>
          </w:tcPr>
          <w:p w14:paraId="5A5B7B60"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Youth Participants (Teens &amp; Young Adults)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990724"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Primary users: collect stamps by completing activities at designated stations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B3ADD2"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Fun, autonomy, incentives, social sharing, sense of contribution</w:t>
            </w:r>
          </w:p>
        </w:tc>
      </w:tr>
      <w:tr w:rsidR="007E160F" w:rsidRPr="00B27C1D" w14:paraId="6288A3E5" w14:textId="77777777" w:rsidTr="000E5D83">
        <w:trPr>
          <w:trHeight w:val="1620"/>
        </w:trPr>
        <w:tc>
          <w:tcPr>
            <w:tcW w:w="0" w:type="auto"/>
            <w:tcBorders>
              <w:top w:val="single" w:sz="6" w:space="0" w:color="000000"/>
              <w:left w:val="single" w:sz="6" w:space="0" w:color="000000"/>
              <w:bottom w:val="single" w:sz="6" w:space="0" w:color="000000"/>
              <w:right w:val="single" w:sz="6" w:space="0" w:color="000000"/>
            </w:tcBorders>
            <w:shd w:val="clear" w:color="auto" w:fill="FFC000"/>
            <w:tcMar>
              <w:top w:w="100" w:type="dxa"/>
              <w:left w:w="100" w:type="dxa"/>
              <w:bottom w:w="100" w:type="dxa"/>
              <w:right w:w="100" w:type="dxa"/>
            </w:tcMar>
            <w:hideMark/>
          </w:tcPr>
          <w:p w14:paraId="6E408F63"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Sponsors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C9C173"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Host or fund stamp-earning stations / photo booths / challenges; activate experientially beyond signage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F359E"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Guaranteed targeted youth engagement, direct interaction, metrics, CSR alignment, new youth-engagement category opportunity</w:t>
            </w:r>
          </w:p>
        </w:tc>
      </w:tr>
      <w:tr w:rsidR="007E160F" w:rsidRPr="00B27C1D" w14:paraId="500795A3" w14:textId="77777777" w:rsidTr="000E5D83">
        <w:trPr>
          <w:trHeight w:val="1320"/>
        </w:trPr>
        <w:tc>
          <w:tcPr>
            <w:tcW w:w="0" w:type="auto"/>
            <w:tcBorders>
              <w:top w:val="single" w:sz="6" w:space="0" w:color="000000"/>
              <w:left w:val="single" w:sz="6" w:space="0" w:color="000000"/>
              <w:bottom w:val="single" w:sz="6" w:space="0" w:color="000000"/>
              <w:right w:val="single" w:sz="6" w:space="0" w:color="000000"/>
            </w:tcBorders>
            <w:shd w:val="clear" w:color="auto" w:fill="FFC000"/>
            <w:tcMar>
              <w:top w:w="100" w:type="dxa"/>
              <w:left w:w="100" w:type="dxa"/>
              <w:bottom w:w="100" w:type="dxa"/>
              <w:right w:w="100" w:type="dxa"/>
            </w:tcMar>
            <w:hideMark/>
          </w:tcPr>
          <w:p w14:paraId="2F047C8F"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Fair Management &amp; Staff</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B3E6F"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Oversee passport distribution, stamp validation, data collection, sponsor coordination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0702EA"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Improved crowd flow, mission reinforcement, sponsor retention, operational innovation</w:t>
            </w:r>
          </w:p>
        </w:tc>
      </w:tr>
      <w:tr w:rsidR="007E160F" w:rsidRPr="00B27C1D" w14:paraId="7AB74FEF" w14:textId="77777777" w:rsidTr="000E5D83">
        <w:trPr>
          <w:trHeight w:val="1050"/>
        </w:trPr>
        <w:tc>
          <w:tcPr>
            <w:tcW w:w="0" w:type="auto"/>
            <w:tcBorders>
              <w:top w:val="single" w:sz="6" w:space="0" w:color="000000"/>
              <w:left w:val="single" w:sz="6" w:space="0" w:color="000000"/>
              <w:bottom w:val="single" w:sz="6" w:space="0" w:color="000000"/>
              <w:right w:val="single" w:sz="6" w:space="0" w:color="000000"/>
            </w:tcBorders>
            <w:shd w:val="clear" w:color="auto" w:fill="FFC000"/>
            <w:tcMar>
              <w:top w:w="100" w:type="dxa"/>
              <w:left w:w="100" w:type="dxa"/>
              <w:bottom w:w="100" w:type="dxa"/>
              <w:right w:w="100" w:type="dxa"/>
            </w:tcMar>
            <w:hideMark/>
          </w:tcPr>
          <w:p w14:paraId="4E0464C2"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Volunteers &amp; Educators</w:t>
            </w:r>
          </w:p>
          <w:p w14:paraId="199A3873" w14:textId="77777777" w:rsidR="007E160F" w:rsidRPr="00DB299E" w:rsidRDefault="007E160F" w:rsidP="000E5D83">
            <w:pPr>
              <w:spacing w:line="240" w:lineRule="auto"/>
              <w:rPr>
                <w:rFonts w:ascii="Times New Roman" w:hAnsi="Times New Roman" w:cs="Times New Roman"/>
              </w:rPr>
            </w:pPr>
          </w:p>
          <w:p w14:paraId="4C7462AD" w14:textId="77777777" w:rsidR="007E160F" w:rsidRPr="00DB299E" w:rsidRDefault="007E160F" w:rsidP="000E5D83">
            <w:pPr>
              <w:spacing w:line="240" w:lineRule="auto"/>
              <w:rPr>
                <w:rFonts w:ascii="Times New Roman" w:hAnsi="Times New Roman" w:cs="Times New Roman"/>
              </w:rPr>
            </w:pPr>
          </w:p>
          <w:p w14:paraId="27FA6AF4" w14:textId="77777777" w:rsidR="007E160F" w:rsidRPr="00DB299E" w:rsidRDefault="007E160F" w:rsidP="000E5D83">
            <w:pPr>
              <w:spacing w:line="240" w:lineRule="auto"/>
              <w:rPr>
                <w:rFonts w:ascii="Times New Roman" w:hAnsi="Times New Roman" w:cs="Times New Roman"/>
                <w:b/>
                <w:bCs/>
              </w:rPr>
            </w:pPr>
          </w:p>
          <w:p w14:paraId="4CE5DFE4" w14:textId="77777777" w:rsidR="007E160F" w:rsidRPr="00DB299E" w:rsidRDefault="007E160F" w:rsidP="000E5D83">
            <w:pPr>
              <w:spacing w:line="240"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CB1215"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Assist at stations, guide activities, validate educational stamps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18AD0"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Increased visibility of educational programming</w:t>
            </w:r>
          </w:p>
        </w:tc>
      </w:tr>
      <w:tr w:rsidR="007E160F" w:rsidRPr="00B27C1D" w14:paraId="3943774E" w14:textId="77777777" w:rsidTr="000E5D83">
        <w:trPr>
          <w:trHeight w:val="1065"/>
        </w:trPr>
        <w:tc>
          <w:tcPr>
            <w:tcW w:w="0" w:type="auto"/>
            <w:tcBorders>
              <w:top w:val="single" w:sz="6" w:space="0" w:color="000000"/>
              <w:left w:val="single" w:sz="6" w:space="0" w:color="000000"/>
              <w:bottom w:val="single" w:sz="6" w:space="0" w:color="000000"/>
              <w:right w:val="single" w:sz="6" w:space="0" w:color="000000"/>
            </w:tcBorders>
            <w:shd w:val="clear" w:color="auto" w:fill="FFC000"/>
            <w:tcMar>
              <w:top w:w="100" w:type="dxa"/>
              <w:left w:w="100" w:type="dxa"/>
              <w:bottom w:w="100" w:type="dxa"/>
              <w:right w:w="100" w:type="dxa"/>
            </w:tcMar>
            <w:hideMark/>
          </w:tcPr>
          <w:p w14:paraId="6582861F"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Schools &amp; Community Organizations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04EAB"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Promote participation, integrate into field trips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B6D62F" w14:textId="77777777" w:rsidR="007E160F" w:rsidRPr="00DB299E" w:rsidRDefault="007E160F" w:rsidP="000E5D83">
            <w:pPr>
              <w:spacing w:line="240" w:lineRule="auto"/>
              <w:rPr>
                <w:rFonts w:ascii="Times New Roman" w:hAnsi="Times New Roman" w:cs="Times New Roman"/>
                <w:b/>
                <w:bCs/>
              </w:rPr>
            </w:pPr>
            <w:r w:rsidRPr="00DB299E">
              <w:rPr>
                <w:rFonts w:ascii="Times New Roman" w:hAnsi="Times New Roman" w:cs="Times New Roman"/>
                <w:b/>
                <w:bCs/>
              </w:rPr>
              <w:t>Enhanced learning outcomes for students</w:t>
            </w:r>
          </w:p>
        </w:tc>
      </w:tr>
    </w:tbl>
    <w:p w14:paraId="6C44C7F2" w14:textId="77777777" w:rsidR="007E160F" w:rsidRDefault="007E160F" w:rsidP="007E160F">
      <w:pPr>
        <w:spacing w:line="480" w:lineRule="auto"/>
        <w:rPr>
          <w:b/>
          <w:bCs/>
        </w:rPr>
      </w:pPr>
    </w:p>
    <w:p w14:paraId="25B77C3D" w14:textId="77777777" w:rsidR="007E160F" w:rsidRDefault="007E160F" w:rsidP="007E160F">
      <w:pPr>
        <w:spacing w:line="480" w:lineRule="auto"/>
        <w:rPr>
          <w:b/>
          <w:bCs/>
        </w:rPr>
      </w:pPr>
    </w:p>
    <w:p w14:paraId="47B1B4DA" w14:textId="0AFF7A1B" w:rsidR="007E160F" w:rsidRPr="0010592D" w:rsidRDefault="0093628A" w:rsidP="00DB299E">
      <w:pPr>
        <w:spacing w:line="480" w:lineRule="auto"/>
        <w:rPr>
          <w:b/>
          <w:bCs/>
        </w:rPr>
      </w:pPr>
      <w:r>
        <w:rPr>
          <w:b/>
          <w:bCs/>
          <w:noProof/>
        </w:rPr>
        <w:lastRenderedPageBreak/>
        <w:drawing>
          <wp:inline distT="0" distB="0" distL="0" distR="0" wp14:anchorId="0A045B7C" wp14:editId="13B74221">
            <wp:extent cx="5486400" cy="3657600"/>
            <wp:effectExtent l="0" t="0" r="0" b="0"/>
            <wp:docPr id="160591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16508" name="Picture 1605916508"/>
                    <pic:cNvPicPr/>
                  </pic:nvPicPr>
                  <pic:blipFill>
                    <a:blip r:embed="rId9"/>
                    <a:stretch>
                      <a:fillRect/>
                    </a:stretch>
                  </pic:blipFill>
                  <pic:spPr>
                    <a:xfrm>
                      <a:off x="0" y="0"/>
                      <a:ext cx="5486400" cy="3657600"/>
                    </a:xfrm>
                    <a:prstGeom prst="rect">
                      <a:avLst/>
                    </a:prstGeom>
                  </pic:spPr>
                </pic:pic>
              </a:graphicData>
            </a:graphic>
          </wp:inline>
        </w:drawing>
      </w:r>
    </w:p>
    <w:p w14:paraId="0773EDFC" w14:textId="77777777" w:rsidR="007E160F" w:rsidRPr="00DB299E" w:rsidRDefault="007E160F" w:rsidP="007E160F">
      <w:pPr>
        <w:spacing w:line="480" w:lineRule="auto"/>
        <w:rPr>
          <w:rFonts w:ascii="Times New Roman" w:hAnsi="Times New Roman" w:cs="Times New Roman"/>
          <w:b/>
          <w:bCs/>
          <w:sz w:val="24"/>
          <w:szCs w:val="24"/>
        </w:rPr>
      </w:pPr>
      <w:r w:rsidRPr="00DB299E">
        <w:rPr>
          <w:rFonts w:ascii="Times New Roman" w:hAnsi="Times New Roman" w:cs="Times New Roman"/>
          <w:b/>
          <w:bCs/>
          <w:sz w:val="24"/>
          <w:szCs w:val="24"/>
        </w:rPr>
        <w:t xml:space="preserve">References </w:t>
      </w:r>
    </w:p>
    <w:p w14:paraId="057D8769"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Community Newspapers. (2024). </w:t>
      </w:r>
      <w:r w:rsidRPr="00DB299E">
        <w:rPr>
          <w:rFonts w:ascii="Times New Roman" w:hAnsi="Times New Roman" w:cs="Times New Roman"/>
          <w:i/>
          <w:iCs/>
          <w:sz w:val="24"/>
          <w:szCs w:val="24"/>
        </w:rPr>
        <w:t>2024 Youth Fair to host more than 32,000 Miami-Dade County students as part of yearly field trip days</w:t>
      </w:r>
      <w:r w:rsidRPr="00DB299E">
        <w:rPr>
          <w:rFonts w:ascii="Times New Roman" w:hAnsi="Times New Roman" w:cs="Times New Roman"/>
          <w:sz w:val="24"/>
          <w:szCs w:val="24"/>
        </w:rPr>
        <w:t xml:space="preserve">. </w:t>
      </w:r>
      <w:hyperlink r:id="rId10" w:tgtFrame="_new" w:history="1">
        <w:r w:rsidRPr="00DB299E">
          <w:rPr>
            <w:rStyle w:val="Hyperlink"/>
            <w:rFonts w:ascii="Times New Roman" w:hAnsi="Times New Roman" w:cs="Times New Roman"/>
            <w:sz w:val="24"/>
            <w:szCs w:val="24"/>
          </w:rPr>
          <w:t>https://communitynewspapers.com/featured/2024-youth-fair-to-host-more-than-32k-miami-dade-county-students-as-part-of-yearly-field-trip-days/</w:t>
        </w:r>
      </w:hyperlink>
    </w:p>
    <w:p w14:paraId="3BC076B9"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Florida State Fair Authority. (n.d.). </w:t>
      </w:r>
      <w:r w:rsidRPr="00DB299E">
        <w:rPr>
          <w:rFonts w:ascii="Times New Roman" w:hAnsi="Times New Roman" w:cs="Times New Roman"/>
          <w:i/>
          <w:iCs/>
          <w:sz w:val="24"/>
          <w:szCs w:val="24"/>
        </w:rPr>
        <w:t>Florida State Fair overview</w:t>
      </w:r>
      <w:r w:rsidRPr="00DB299E">
        <w:rPr>
          <w:rFonts w:ascii="Times New Roman" w:hAnsi="Times New Roman" w:cs="Times New Roman"/>
          <w:sz w:val="24"/>
          <w:szCs w:val="24"/>
        </w:rPr>
        <w:t>.</w:t>
      </w:r>
      <w:r w:rsidRPr="00DB299E">
        <w:rPr>
          <w:rFonts w:ascii="Times New Roman" w:hAnsi="Times New Roman" w:cs="Times New Roman"/>
          <w:sz w:val="24"/>
          <w:szCs w:val="24"/>
        </w:rPr>
        <w:tab/>
      </w:r>
      <w:r w:rsidRPr="00DB299E">
        <w:rPr>
          <w:rFonts w:ascii="Times New Roman" w:hAnsi="Times New Roman" w:cs="Times New Roman"/>
          <w:sz w:val="24"/>
          <w:szCs w:val="24"/>
        </w:rPr>
        <w:tab/>
      </w:r>
      <w:r w:rsidRPr="00DB299E">
        <w:rPr>
          <w:rFonts w:ascii="Times New Roman" w:hAnsi="Times New Roman" w:cs="Times New Roman"/>
          <w:sz w:val="24"/>
          <w:szCs w:val="24"/>
        </w:rPr>
        <w:tab/>
        <w:t xml:space="preserve"> </w:t>
      </w:r>
      <w:hyperlink r:id="rId11" w:tgtFrame="_new" w:history="1">
        <w:r w:rsidRPr="00DB299E">
          <w:rPr>
            <w:rStyle w:val="Hyperlink"/>
            <w:rFonts w:ascii="Times New Roman" w:hAnsi="Times New Roman" w:cs="Times New Roman"/>
            <w:sz w:val="24"/>
            <w:szCs w:val="24"/>
          </w:rPr>
          <w:t>https://floridastatefair.com</w:t>
        </w:r>
      </w:hyperlink>
    </w:p>
    <w:p w14:paraId="61977E28"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Internal Revenue Service. (2024). </w:t>
      </w:r>
      <w:r w:rsidRPr="00DB299E">
        <w:rPr>
          <w:rFonts w:ascii="Times New Roman" w:hAnsi="Times New Roman" w:cs="Times New Roman"/>
          <w:i/>
          <w:iCs/>
          <w:sz w:val="24"/>
          <w:szCs w:val="24"/>
        </w:rPr>
        <w:t>Form 990: Miami-Dade County Fair &amp; Exposition, Inc.</w:t>
      </w:r>
      <w:r w:rsidRPr="00DB299E">
        <w:rPr>
          <w:rFonts w:ascii="Times New Roman" w:hAnsi="Times New Roman" w:cs="Times New Roman"/>
          <w:sz w:val="24"/>
          <w:szCs w:val="24"/>
        </w:rPr>
        <w:t xml:space="preserve"> </w:t>
      </w:r>
      <w:hyperlink r:id="rId12" w:tgtFrame="_new" w:history="1">
        <w:r w:rsidRPr="00DB299E">
          <w:rPr>
            <w:rStyle w:val="Hyperlink"/>
            <w:rFonts w:ascii="Times New Roman" w:hAnsi="Times New Roman" w:cs="Times New Roman"/>
            <w:sz w:val="24"/>
            <w:szCs w:val="24"/>
          </w:rPr>
          <w:t>https://990finder.trantorfintech.com/591039811/</w:t>
        </w:r>
      </w:hyperlink>
    </w:p>
    <w:p w14:paraId="0BCFB467"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Miami-Dade County Fair &amp; Exposition, Inc. (n.d.-a). Get to know us. Retrieved April 8, 2026, from https://www.fairexpo.com/about</w:t>
      </w:r>
    </w:p>
    <w:p w14:paraId="3A488E2A"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Miami-Dade County Fair &amp; Exposition, Inc. (n.d.-b). The fairgrounds. Retrieved April 8, 2026, from https://www.fairexpo.com/expo/expo-facility/grounds</w:t>
      </w:r>
    </w:p>
    <w:p w14:paraId="0C82A452"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ProPublica. (n.d.). </w:t>
      </w:r>
      <w:r w:rsidRPr="00DB299E">
        <w:rPr>
          <w:rFonts w:ascii="Times New Roman" w:hAnsi="Times New Roman" w:cs="Times New Roman"/>
          <w:i/>
          <w:iCs/>
          <w:sz w:val="24"/>
          <w:szCs w:val="24"/>
        </w:rPr>
        <w:t>Miami-Dade County Fair &amp; Exposition, Inc.</w:t>
      </w:r>
      <w:r w:rsidRPr="00DB299E">
        <w:rPr>
          <w:rFonts w:ascii="Times New Roman" w:hAnsi="Times New Roman" w:cs="Times New Roman"/>
          <w:sz w:val="24"/>
          <w:szCs w:val="24"/>
        </w:rPr>
        <w:t xml:space="preserve"> </w:t>
      </w:r>
      <w:hyperlink r:id="rId13" w:tgtFrame="_new" w:history="1">
        <w:r w:rsidRPr="00DB299E">
          <w:rPr>
            <w:rStyle w:val="Hyperlink"/>
            <w:rFonts w:ascii="Times New Roman" w:hAnsi="Times New Roman" w:cs="Times New Roman"/>
            <w:sz w:val="24"/>
            <w:szCs w:val="24"/>
          </w:rPr>
          <w:t>https://projects.propublica.org/nonprofits/organizations/591039811</w:t>
        </w:r>
      </w:hyperlink>
    </w:p>
    <w:p w14:paraId="0AE6A713" w14:textId="77777777" w:rsidR="007E160F" w:rsidRPr="00DB299E" w:rsidRDefault="007E160F" w:rsidP="007E160F">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South Florida Fair Authority. (n.d.). </w:t>
      </w:r>
      <w:r w:rsidRPr="00DB299E">
        <w:rPr>
          <w:rFonts w:ascii="Times New Roman" w:hAnsi="Times New Roman" w:cs="Times New Roman"/>
          <w:i/>
          <w:iCs/>
          <w:sz w:val="24"/>
          <w:szCs w:val="24"/>
        </w:rPr>
        <w:t>South Florida Fair overview</w:t>
      </w:r>
      <w:r w:rsidRPr="00DB299E">
        <w:rPr>
          <w:rFonts w:ascii="Times New Roman" w:hAnsi="Times New Roman" w:cs="Times New Roman"/>
          <w:sz w:val="24"/>
          <w:szCs w:val="24"/>
        </w:rPr>
        <w:t xml:space="preserve">. </w:t>
      </w:r>
      <w:hyperlink r:id="rId14" w:tgtFrame="_new" w:history="1">
        <w:r w:rsidRPr="00DB299E">
          <w:rPr>
            <w:rStyle w:val="Hyperlink"/>
            <w:rFonts w:ascii="Times New Roman" w:hAnsi="Times New Roman" w:cs="Times New Roman"/>
            <w:sz w:val="24"/>
            <w:szCs w:val="24"/>
          </w:rPr>
          <w:t>https://www.southfloridafair.com</w:t>
        </w:r>
      </w:hyperlink>
    </w:p>
    <w:p w14:paraId="4DA429BE" w14:textId="77777777" w:rsidR="00170D49" w:rsidRPr="00DB299E" w:rsidRDefault="007E160F" w:rsidP="007E160F">
      <w:pPr>
        <w:rPr>
          <w:rFonts w:ascii="Times New Roman" w:hAnsi="Times New Roman" w:cs="Times New Roman"/>
          <w:b/>
          <w:bCs/>
          <w:sz w:val="24"/>
          <w:szCs w:val="24"/>
        </w:rPr>
      </w:pPr>
      <w:r w:rsidRPr="00DB299E">
        <w:rPr>
          <w:rFonts w:ascii="Times New Roman" w:hAnsi="Times New Roman" w:cs="Times New Roman"/>
          <w:b/>
          <w:bCs/>
          <w:sz w:val="24"/>
          <w:szCs w:val="24"/>
        </w:rPr>
        <w:br w:type="page"/>
      </w:r>
    </w:p>
    <w:p w14:paraId="2DE22D73" w14:textId="2ECC0602" w:rsidR="00170D49" w:rsidRDefault="00170D49" w:rsidP="00170D49">
      <w:pPr>
        <w:spacing w:line="240" w:lineRule="auto"/>
        <w:jc w:val="center"/>
        <w:rPr>
          <w:b/>
          <w:bCs/>
          <w:sz w:val="40"/>
          <w:szCs w:val="40"/>
        </w:rPr>
      </w:pPr>
      <w:r w:rsidRPr="00170D49">
        <w:rPr>
          <w:b/>
          <w:bCs/>
          <w:sz w:val="40"/>
          <w:szCs w:val="40"/>
        </w:rPr>
        <w:lastRenderedPageBreak/>
        <w:t>Miami-Dade County Youth Fair Enhancement: Passport Journ</w:t>
      </w:r>
      <w:r w:rsidR="00073E1D">
        <w:rPr>
          <w:b/>
          <w:bCs/>
          <w:sz w:val="40"/>
          <w:szCs w:val="40"/>
        </w:rPr>
        <w:t>e</w:t>
      </w:r>
      <w:r w:rsidRPr="00170D49">
        <w:rPr>
          <w:b/>
          <w:bCs/>
          <w:sz w:val="40"/>
          <w:szCs w:val="40"/>
        </w:rPr>
        <w:t>y</w:t>
      </w:r>
      <w:r w:rsidR="009D6B39">
        <w:rPr>
          <w:b/>
          <w:bCs/>
          <w:sz w:val="40"/>
          <w:szCs w:val="40"/>
        </w:rPr>
        <w:t xml:space="preserve"> Part 2</w:t>
      </w:r>
    </w:p>
    <w:p w14:paraId="58F65CEF" w14:textId="77777777" w:rsidR="00170D49" w:rsidRPr="00170D49" w:rsidRDefault="00170D49" w:rsidP="00170D49">
      <w:pPr>
        <w:spacing w:line="240" w:lineRule="auto"/>
        <w:jc w:val="center"/>
        <w:rPr>
          <w:b/>
          <w:bCs/>
          <w:sz w:val="40"/>
          <w:szCs w:val="40"/>
        </w:rPr>
      </w:pPr>
    </w:p>
    <w:p w14:paraId="7E581396" w14:textId="77777777" w:rsidR="00170D49" w:rsidRDefault="00170D49" w:rsidP="00170D49">
      <w:pPr>
        <w:spacing w:line="480" w:lineRule="auto"/>
        <w:jc w:val="center"/>
        <w:rPr>
          <w:b/>
          <w:bCs/>
          <w:sz w:val="32"/>
          <w:szCs w:val="32"/>
        </w:rPr>
      </w:pPr>
      <w:r>
        <w:rPr>
          <w:b/>
          <w:bCs/>
          <w:noProof/>
          <w:sz w:val="32"/>
          <w:szCs w:val="32"/>
        </w:rPr>
        <w:drawing>
          <wp:inline distT="0" distB="0" distL="0" distR="0" wp14:anchorId="3B8E4687" wp14:editId="484E9C06">
            <wp:extent cx="2480945" cy="3601372"/>
            <wp:effectExtent l="0" t="0" r="0" b="0"/>
            <wp:docPr id="500288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8745" name="Picture 500288745"/>
                    <pic:cNvPicPr/>
                  </pic:nvPicPr>
                  <pic:blipFill>
                    <a:blip r:embed="rId7">
                      <a:extLst>
                        <a:ext uri="{28A0092B-C50C-407E-A947-70E740481C1C}">
                          <a14:useLocalDpi xmlns:a14="http://schemas.microsoft.com/office/drawing/2010/main" val="0"/>
                        </a:ext>
                      </a:extLst>
                    </a:blip>
                    <a:stretch>
                      <a:fillRect/>
                    </a:stretch>
                  </pic:blipFill>
                  <pic:spPr>
                    <a:xfrm>
                      <a:off x="0" y="0"/>
                      <a:ext cx="2541553" cy="3689351"/>
                    </a:xfrm>
                    <a:prstGeom prst="rect">
                      <a:avLst/>
                    </a:prstGeom>
                  </pic:spPr>
                </pic:pic>
              </a:graphicData>
            </a:graphic>
          </wp:inline>
        </w:drawing>
      </w:r>
    </w:p>
    <w:p w14:paraId="13F46EBC" w14:textId="77777777" w:rsidR="00170D49" w:rsidRDefault="00170D49" w:rsidP="00170D49">
      <w:pPr>
        <w:spacing w:line="480" w:lineRule="auto"/>
        <w:jc w:val="center"/>
        <w:rPr>
          <w:b/>
          <w:bCs/>
          <w:sz w:val="32"/>
          <w:szCs w:val="32"/>
        </w:rPr>
      </w:pPr>
    </w:p>
    <w:p w14:paraId="2348E4E9" w14:textId="77777777" w:rsidR="00170D49" w:rsidRDefault="00170D49" w:rsidP="00170D49">
      <w:pPr>
        <w:spacing w:line="240" w:lineRule="auto"/>
        <w:jc w:val="center"/>
        <w:rPr>
          <w:b/>
          <w:bCs/>
          <w:sz w:val="32"/>
          <w:szCs w:val="32"/>
        </w:rPr>
      </w:pPr>
      <w:r>
        <w:rPr>
          <w:b/>
          <w:bCs/>
          <w:sz w:val="32"/>
          <w:szCs w:val="32"/>
        </w:rPr>
        <w:t>By: Abdulgader Turkistani &amp; Salem Alhabshi</w:t>
      </w:r>
    </w:p>
    <w:p w14:paraId="3E82847A" w14:textId="77777777" w:rsidR="00170D49" w:rsidRDefault="00170D49" w:rsidP="00170D49">
      <w:pPr>
        <w:spacing w:line="240" w:lineRule="auto"/>
        <w:jc w:val="center"/>
        <w:rPr>
          <w:b/>
          <w:bCs/>
          <w:sz w:val="32"/>
          <w:szCs w:val="32"/>
        </w:rPr>
      </w:pPr>
      <w:r>
        <w:rPr>
          <w:b/>
          <w:bCs/>
          <w:sz w:val="32"/>
          <w:szCs w:val="32"/>
        </w:rPr>
        <w:t>Florida International University</w:t>
      </w:r>
    </w:p>
    <w:p w14:paraId="30212140" w14:textId="77777777" w:rsidR="00170D49" w:rsidRDefault="00170D49" w:rsidP="00170D49">
      <w:pPr>
        <w:spacing w:line="240" w:lineRule="auto"/>
        <w:jc w:val="center"/>
        <w:rPr>
          <w:b/>
          <w:bCs/>
          <w:sz w:val="32"/>
          <w:szCs w:val="32"/>
        </w:rPr>
      </w:pPr>
      <w:r>
        <w:rPr>
          <w:b/>
          <w:bCs/>
          <w:sz w:val="32"/>
          <w:szCs w:val="32"/>
        </w:rPr>
        <w:t>Mega Event Enhancement Feasibility Study</w:t>
      </w:r>
    </w:p>
    <w:p w14:paraId="0205616E" w14:textId="77777777" w:rsidR="00170D49" w:rsidRDefault="00170D49">
      <w:pPr>
        <w:rPr>
          <w:b/>
          <w:bCs/>
          <w:sz w:val="32"/>
          <w:szCs w:val="32"/>
        </w:rPr>
      </w:pPr>
    </w:p>
    <w:p w14:paraId="23776FE3" w14:textId="77777777" w:rsidR="00970E3D" w:rsidRDefault="00970E3D">
      <w:pPr>
        <w:rPr>
          <w:b/>
          <w:bCs/>
          <w:sz w:val="32"/>
          <w:szCs w:val="32"/>
        </w:rPr>
      </w:pPr>
      <w:r>
        <w:rPr>
          <w:b/>
          <w:bCs/>
          <w:sz w:val="32"/>
          <w:szCs w:val="32"/>
        </w:rPr>
        <w:br w:type="page"/>
      </w:r>
    </w:p>
    <w:p w14:paraId="380C106A" w14:textId="77777777" w:rsidR="009D6B39" w:rsidRPr="00DB299E" w:rsidRDefault="009D6B39" w:rsidP="00DB299E">
      <w:pPr>
        <w:spacing w:line="480" w:lineRule="auto"/>
        <w:rPr>
          <w:rFonts w:ascii="Times New Roman" w:hAnsi="Times New Roman" w:cs="Times New Roman"/>
        </w:rPr>
      </w:pPr>
      <w:r w:rsidRPr="00DB299E">
        <w:rPr>
          <w:rFonts w:ascii="Times New Roman" w:hAnsi="Times New Roman" w:cs="Times New Roman"/>
          <w:b/>
          <w:bCs/>
        </w:rPr>
        <w:lastRenderedPageBreak/>
        <w:t>Introduction</w:t>
      </w:r>
    </w:p>
    <w:p w14:paraId="41DE7EC9" w14:textId="77777777" w:rsidR="00CA2588" w:rsidRPr="00DB299E" w:rsidRDefault="00CA2588" w:rsidP="00DB299E">
      <w:pPr>
        <w:pStyle w:val="NormalWeb"/>
        <w:spacing w:before="240" w:beforeAutospacing="0" w:after="240" w:afterAutospacing="0" w:line="480" w:lineRule="auto"/>
        <w:ind w:firstLine="720"/>
        <w:rPr>
          <w:color w:val="000000"/>
          <w:sz w:val="22"/>
          <w:szCs w:val="22"/>
        </w:rPr>
      </w:pPr>
      <w:r w:rsidRPr="00DB299E">
        <w:t>This feasibility study evaluates the proposed Youth Engagement Passport enhancement for the Miami Dade County Youth Fair. The program introduces a structured participation system that guides youth visitors through educational exhibits, sponsor activations, and community engagement activities while supporting the fair’s nonprofit mission. The Miami Dade County Youth Fair is one of the largest youth focused fairs in the United States and attracts hundreds of thousands of visitors each year (Miami-Dade County Fair &amp; Exposition, Inc., n.d.-a). The enhancement targets youth participants approximately 10 to 18 years old. This age group represents a large portion of fair attendance and aligns with the fair’s focus on youth education and development. Research on event visitor behavior shows that younger visitors often spend most of their time in entertainment areas such as rides and food zones, while educational exhibits receive less attention unless participation is structured (Getz &amp; Page, 2016). The Youth Engagement Passport creates a guided experience across the fairgrounds. Upon entry participants receive a passport and a map that identify four engagement categories located throughout the event. Participants must collect four stamps, one from each category, by completing an activity in that section.</w:t>
      </w:r>
    </w:p>
    <w:p w14:paraId="0FB2BB6A" w14:textId="77777777" w:rsidR="00CA2588" w:rsidRPr="00DB299E" w:rsidRDefault="00CA2588" w:rsidP="00DB299E">
      <w:pPr>
        <w:pStyle w:val="NormalWeb"/>
        <w:spacing w:before="240" w:beforeAutospacing="0" w:after="240" w:afterAutospacing="0" w:line="480" w:lineRule="auto"/>
        <w:ind w:firstLine="720"/>
        <w:rPr>
          <w:color w:val="000000"/>
          <w:sz w:val="22"/>
          <w:szCs w:val="22"/>
        </w:rPr>
      </w:pPr>
      <w:r w:rsidRPr="00DB299E">
        <w:t xml:space="preserve">The four categories are Education and Discovery, Health Awareness, Sponsor Engagement, and Community Impact (See Appendix A). The Education and Discovery category connects visitors with agricultural demonstrations, youth competitions, and learning exhibits. Agricultural fairs historically support youth learning and skill development in agriculture, science, and leadership (International Association of Fairs and Expos, n.d.). The Health Awareness category introduces public health messages through activities such as hydration awareness or wellness exhibits (Occupational Safety and Health Administration, n.d.). The </w:t>
      </w:r>
      <w:r w:rsidRPr="00DB299E">
        <w:lastRenderedPageBreak/>
        <w:t>Sponsor Engagement category allows sponsors to operate interactive experiences such as photo stations or challenges. Experiential brand activities are known to increase visitor engagement and brand recall compared with traditional signage (Close &amp; Lacey, 2013).</w:t>
      </w:r>
    </w:p>
    <w:p w14:paraId="56CC958B" w14:textId="77777777" w:rsidR="00CA2588" w:rsidRPr="00DB299E" w:rsidRDefault="00CA2588"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After collecting all four stamps participants complete the passport and receive three rewards. Participants receive a small collectible souvenir, entry into a sponsor funded weekly scholarship raffle, and the opportunity to select a community cause such as hospital support, tree planting, or youth education initiatives that will receive a sponsor funded micro donation.</w:t>
      </w:r>
    </w:p>
    <w:p w14:paraId="0191CCA4" w14:textId="77777777" w:rsidR="00CA2588" w:rsidRPr="00DB299E" w:rsidRDefault="00CA2588"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Operationally the program relies largely on existing fair infrastructure and sponsor operated stations. Only minimal additions such as passport distribution points are required. By encouraging youth visitors to explore the fairgrounds and interact with educational exhibits and sponsors, the enhancement aims to increase engagement and reinforce the educational mission of the Miami Dade County Youth Fair.</w:t>
      </w:r>
    </w:p>
    <w:p w14:paraId="51646C92" w14:textId="77777777" w:rsidR="00CA2588" w:rsidRPr="00DB299E" w:rsidRDefault="00CA2588"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The following feasibility analysis evaluates whether the enhancement is financially viable, strategically valuable, operationally realistic, and manageable from a risk and legal perspective.</w:t>
      </w:r>
    </w:p>
    <w:p w14:paraId="14A5F156"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Step 1: Financial Feasibility</w:t>
      </w:r>
    </w:p>
    <w:p w14:paraId="3D283C72" w14:textId="77777777" w:rsidR="00BA7D04" w:rsidRPr="00DB299E" w:rsidRDefault="00BA7D04" w:rsidP="00DB299E">
      <w:pPr>
        <w:pStyle w:val="NormalWeb"/>
        <w:spacing w:before="240" w:beforeAutospacing="0" w:after="240" w:afterAutospacing="0" w:line="480" w:lineRule="auto"/>
        <w:ind w:firstLine="720"/>
        <w:rPr>
          <w:color w:val="000000"/>
          <w:sz w:val="22"/>
          <w:szCs w:val="22"/>
        </w:rPr>
      </w:pPr>
      <w:r w:rsidRPr="00DB299E">
        <w:t>The Youth Engagement Passport is designed as a low cost engagement layer that uses existing fair infrastructure and partner operated activation stations, avoiding major capital investment. Similar participation-based programs are widely used at large events to increase interaction with modest operating costs (Getz &amp; Page, 2016).</w:t>
      </w:r>
    </w:p>
    <w:p w14:paraId="4BA3B0D6" w14:textId="77777777" w:rsidR="00BA7D04" w:rsidRPr="00DB299E" w:rsidRDefault="00BA7D04" w:rsidP="00DB299E">
      <w:pPr>
        <w:pStyle w:val="NormalWeb"/>
        <w:spacing w:before="240" w:beforeAutospacing="0" w:after="240" w:afterAutospacing="0" w:line="480" w:lineRule="auto"/>
        <w:ind w:firstLine="720"/>
        <w:rPr>
          <w:color w:val="000000"/>
        </w:rPr>
      </w:pPr>
      <w:r w:rsidRPr="00DB299E">
        <w:t xml:space="preserve">The Miami Dade County Youth Fair draws hundreds of thousands of visitors across a multi week run and is among the largest youth centered fairs in the United States (Miami-Dade County Fair &amp; Exposition, Inc., n.d.-a). Using a conservative base of 500,000 visitors, and </w:t>
      </w:r>
      <w:r w:rsidRPr="00DB299E">
        <w:lastRenderedPageBreak/>
        <w:t>estimating youth at 25% to 35% of attendees, the potential youth audience is about 125,000 to 175,000 (Getz &amp; Page, 2016). Voluntary engagement programs often capture 5% to 20% of the target audience, and completion rates commonly fall around 30% to 50% depending on incentives and program length (Martin, 2018; Getz &amp; Page, 2016). Participation scenarios can be compared in Table 1 in Appendix B.</w:t>
      </w:r>
    </w:p>
    <w:p w14:paraId="61C3F042" w14:textId="77777777" w:rsidR="00BA7D04" w:rsidRPr="00DB299E" w:rsidRDefault="00BA7D04" w:rsidP="00DB299E">
      <w:pPr>
        <w:pStyle w:val="NormalWeb"/>
        <w:spacing w:before="240" w:beforeAutospacing="0" w:after="240" w:afterAutospacing="0" w:line="480" w:lineRule="auto"/>
        <w:ind w:firstLine="720"/>
        <w:rPr>
          <w:color w:val="000000"/>
        </w:rPr>
      </w:pPr>
      <w:r w:rsidRPr="00DB299E">
        <w:t>In a realistic moderate scenario, about 6,000 passports are completed. If completion rewards are small souvenir items, bulk costs of about $3 to $6 each imply $18,000 to $36,000 in reward costs, often funded fully or partially by sponsors (International Association of Fairs and Expos, n.d.). Additional expenses include printing about $10,000 to $20,000, plus signage and stamping materials about $3,000 to $5,000. With partner staffed stations, total implementation is likely about $30,000 to $60,000 depending on participation and reward volume.</w:t>
      </w:r>
    </w:p>
    <w:p w14:paraId="34E5111C" w14:textId="77777777" w:rsidR="00BA7D04" w:rsidRPr="00DB299E" w:rsidRDefault="00BA7D04" w:rsidP="00DB299E">
      <w:pPr>
        <w:pStyle w:val="NormalWeb"/>
        <w:spacing w:before="240" w:beforeAutospacing="0" w:after="240" w:afterAutospacing="0" w:line="480" w:lineRule="auto"/>
        <w:ind w:firstLine="720"/>
        <w:rPr>
          <w:color w:val="000000"/>
        </w:rPr>
      </w:pPr>
      <w:r w:rsidRPr="00DB299E">
        <w:t>Primary funding would come from sponsor supported activation stations, since experiential sponsorships create measurable engagement beyond passive exposure (Close &amp; Lacey, 2013). If four activation sponsors contribute $10,000 to $15,000 each, sponsorship revenue of $40,000 to $60,000 could cover most or all program costs. The program may also create indirect margin through optional purchase based stamp options. For example, a reusable bottle sold for $12 with a $4 unit cost yields about $8 gross margin, and 3,000 purchases would generate about $24,000 in margin while supporting a hydration message.</w:t>
      </w:r>
    </w:p>
    <w:p w14:paraId="52CE1FAF" w14:textId="77777777" w:rsidR="00970E3D" w:rsidRPr="00DB299E" w:rsidRDefault="00BA7D04" w:rsidP="00DB299E">
      <w:pPr>
        <w:pStyle w:val="NormalWeb"/>
        <w:spacing w:before="240" w:beforeAutospacing="0" w:after="240" w:afterAutospacing="0" w:line="480" w:lineRule="auto"/>
        <w:ind w:firstLine="720"/>
        <w:rPr>
          <w:color w:val="000000"/>
        </w:rPr>
      </w:pPr>
      <w:r w:rsidRPr="00DB299E">
        <w:t xml:space="preserve">Overall, the program is financially viable across conservative to moderate participation scenarios. Sponsorship can reasonably cover costs, and moderate participation should break even or generate modest surplus, especially if sponsors also support rewards or station materials. </w:t>
      </w:r>
      <w:r w:rsidRPr="00DB299E">
        <w:lastRenderedPageBreak/>
        <w:t>Because the enhancement relies on existing infrastructure and sponsor operated engagement, financial risk to the fair remains low (International Association of Fairs and Expos, n.d.).</w:t>
      </w:r>
    </w:p>
    <w:p w14:paraId="48A26579"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Step 2: Market Feasibility</w:t>
      </w:r>
    </w:p>
    <w:p w14:paraId="191BB830"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Market feasibility evaluates whether sufficient demand exists for the proposed Youth Engagement Passport enhancement and whether the concept creates strategic value for the Miami-Dade County Youth Fair. The analysis considers the existing target audience, visitor behavior patterns, comparable engagement strategies used at similar events, and the potential role of sponsors and partners in supporting the program.</w:t>
      </w:r>
    </w:p>
    <w:p w14:paraId="5775CC1F"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Target Audience and Demand Assessment</w:t>
      </w:r>
    </w:p>
    <w:p w14:paraId="5D24B46D" w14:textId="77777777" w:rsidR="00EB4B4B" w:rsidRPr="00DB299E" w:rsidRDefault="00EB4B4B" w:rsidP="00DB299E">
      <w:pPr>
        <w:pStyle w:val="NormalWeb"/>
        <w:spacing w:before="240" w:beforeAutospacing="0" w:after="240" w:afterAutospacing="0" w:line="480" w:lineRule="auto"/>
        <w:ind w:firstLine="720"/>
        <w:rPr>
          <w:color w:val="000000"/>
          <w:sz w:val="22"/>
          <w:szCs w:val="22"/>
        </w:rPr>
      </w:pPr>
      <w:r w:rsidRPr="00DB299E">
        <w:t>The Miami Dade County Youth Fair serves families, youth groups, and students through educational programming, agricultural exhibits, and entertainment (Miami-Dade County Fair &amp; Exposition, Inc., n.d.-a). This enhancement targets youth ages 10 to 18, a major segment at family-oriented fairs where entertainment, learning, and social interaction drive participation (Getz &amp; Page, 2016). However, younger visitors often focus on rides, food, and shows, while educational exhibits and partner booths get less engagement unless visitors are guided toward them (Getz &amp; Page, 2016). Gamified tools like event passports are commonly used to increase exploration and interaction in underused areas (Martin, 2018).</w:t>
      </w:r>
    </w:p>
    <w:p w14:paraId="642A9A67"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Value for the Existing Audience</w:t>
      </w:r>
    </w:p>
    <w:p w14:paraId="51725555" w14:textId="77777777" w:rsidR="00970E3D" w:rsidRPr="00DB299E" w:rsidRDefault="009D6B39" w:rsidP="00DB299E">
      <w:pPr>
        <w:pStyle w:val="NormalWeb"/>
        <w:spacing w:before="240" w:beforeAutospacing="0" w:after="240" w:afterAutospacing="0" w:line="480" w:lineRule="auto"/>
        <w:ind w:firstLine="720"/>
        <w:rPr>
          <w:color w:val="000000"/>
          <w:sz w:val="22"/>
          <w:szCs w:val="22"/>
        </w:rPr>
      </w:pPr>
      <w:r w:rsidRPr="00DB299E">
        <w:t xml:space="preserve">The passport system adds value by turning passive attendance into an interactive, gamified experience that encourages youth to visit educational exhibits, nonprofit booths, and sponsor activations (Getz &amp; Page, 2016). It also helps parents and educators by providing a structured activity that keeps learning central while preserving the fair’s entertainment appeal </w:t>
      </w:r>
      <w:r w:rsidRPr="00DB299E">
        <w:lastRenderedPageBreak/>
        <w:t>through incentives like souvenirs, raffle entries, and sponsor-supported community contributions. Finally, it supports the long-standing educational mission of agricultural fairs by promoting youth learning, skill development, and community engagement (International Association of Fairs and Expos, n.d.).</w:t>
      </w:r>
    </w:p>
    <w:p w14:paraId="2A4077A5"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Potential Audience Expansion</w:t>
      </w:r>
    </w:p>
    <w:p w14:paraId="063ABFA6"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t>While the passport program primarily enhances the experience of existing youth visitors, it may also attract additional audiences interested in interactive learning experiences. Schools, youth organizations, and community groups may view the passport system as a structured educational activity during fair visits. Experiential learning programs that combine exploration, interactive exhibits, and reward-based participation have been shown to increase engagement among younger audiences (Getz &amp; Page, 2016). In addition, the integration of sponsor activations and social media opportunities may increase appeal among teenagers and young adults who are accustomed to interactive and shareable event experiences. Photo booths and experiential sponsor activations are widely used in contemporary events to encourage visitor-generated content and expand the event’s visibility through social media engagement (Close &amp; Lacey, 2013).</w:t>
      </w:r>
    </w:p>
    <w:p w14:paraId="16D6FA74"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Potential Drawbacks</w:t>
      </w:r>
    </w:p>
    <w:p w14:paraId="505301FE" w14:textId="77777777" w:rsidR="00EB4B4B" w:rsidRPr="00DB299E" w:rsidRDefault="00EB4B4B"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The passport enhancement has several drawbacks. Participation is optional, so engagement may be low without strong promotion. It also depends on consistent execution by multiple partners; weak station management could hurt the visitor experience, requiring clear guidelines and coordination. Finally, popular stations may create congestion during peak times, which can be reduced by spreading stations across the fairgrounds and offering multiple activity options per stamp category.</w:t>
      </w:r>
    </w:p>
    <w:p w14:paraId="1B803C8D" w14:textId="77777777" w:rsidR="000A7CE5" w:rsidRPr="00DB299E" w:rsidRDefault="000A7CE5" w:rsidP="00DB299E">
      <w:pPr>
        <w:pStyle w:val="NormalWeb"/>
        <w:spacing w:before="240" w:beforeAutospacing="0" w:after="240" w:afterAutospacing="0" w:line="480" w:lineRule="auto"/>
        <w:rPr>
          <w:b/>
          <w:bCs/>
          <w:sz w:val="22"/>
          <w:szCs w:val="22"/>
        </w:rPr>
      </w:pPr>
      <w:r w:rsidRPr="00DB299E">
        <w:rPr>
          <w:b/>
          <w:bCs/>
          <w:sz w:val="22"/>
          <w:szCs w:val="22"/>
        </w:rPr>
        <w:lastRenderedPageBreak/>
        <w:t>Benchmark and Competitor Analysis</w:t>
      </w:r>
    </w:p>
    <w:p w14:paraId="219FA772" w14:textId="77777777" w:rsidR="000A7CE5" w:rsidRPr="00DB299E" w:rsidRDefault="000A7CE5" w:rsidP="00DB299E">
      <w:pPr>
        <w:pStyle w:val="NormalWeb"/>
        <w:spacing w:before="240" w:after="240" w:line="480" w:lineRule="auto"/>
        <w:ind w:firstLine="720"/>
        <w:rPr>
          <w:sz w:val="22"/>
          <w:szCs w:val="22"/>
        </w:rPr>
      </w:pPr>
      <w:r w:rsidRPr="00DB299E">
        <w:t>Passport style engagement programs are common at large events to encourage exploration through simple tasks and stamp-based proof of participation, increasing movement and engagement with educational content (Martin, 2018). Because experiential activations are widely used in fairs and festivals, the Youth Engagement Passport is a realistic way to connect exhibits and partners into one structured journey (International Association of Fairs and Expos, n.d.).</w:t>
      </w:r>
    </w:p>
    <w:p w14:paraId="04E77910" w14:textId="77777777" w:rsidR="000A7CE5" w:rsidRPr="00DB299E" w:rsidRDefault="000A7CE5" w:rsidP="00DB299E">
      <w:pPr>
        <w:pStyle w:val="NormalWeb"/>
        <w:spacing w:before="240" w:after="240" w:line="480" w:lineRule="auto"/>
        <w:ind w:firstLine="720"/>
        <w:rPr>
          <w:sz w:val="22"/>
          <w:szCs w:val="22"/>
        </w:rPr>
      </w:pPr>
      <w:r w:rsidRPr="00DB299E">
        <w:t>Benchmark 1: Disney EPCOT World Showcase Kidcot Fun Stops. EPCOT uses Kidcot Fun Stops across 11 country pavilions to drive exploration through collectible activity cards (Walt Disney World Resort, n.d.). The model shows that distributed touchpoints and quick micro tasks reduce clustering and support longer visitation. The Youth Fair should spread stamp stations across key zones with fast standardized tasks, while accounting for weather variability and volunteer supported operations.</w:t>
      </w:r>
    </w:p>
    <w:p w14:paraId="3F1C1A94" w14:textId="77777777" w:rsidR="000A7CE5" w:rsidRPr="00DB299E" w:rsidRDefault="000A7CE5" w:rsidP="00DB299E">
      <w:pPr>
        <w:pStyle w:val="NormalWeb"/>
        <w:spacing w:before="240" w:beforeAutospacing="0" w:after="240" w:afterAutospacing="0" w:line="480" w:lineRule="auto"/>
        <w:ind w:firstLine="720"/>
        <w:rPr>
          <w:sz w:val="22"/>
          <w:szCs w:val="22"/>
        </w:rPr>
      </w:pPr>
      <w:r w:rsidRPr="00DB299E">
        <w:t>Benchmark 2: Expo 2020 Dubai Passport. Expo 2020 sold a physical passport as a collectible souvenir designed to encourage pavilion visitation and stamp collection (Expo 2020 Dubai, 2021). Reported sales of 700,000+ passports in under two months suggest strong demand for a “collect-and-complete” mechanic when the passport functions as both a souvenir and progress tracker (The National, 2021a). Expo’s standardized stamping points also reinforce the importance of consistent operations across sites (The National, 2021b). Transferable insight: the Youth Fair passport should be designed as a meaningful achievement artifact, use standardized stamp verification procedures, and ensure completion recognition remains meaningful even without requiring youth social media participation.</w:t>
      </w:r>
    </w:p>
    <w:p w14:paraId="34346959"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lastRenderedPageBreak/>
        <w:t>Potential Sponsors and Strategic Partners</w:t>
      </w:r>
    </w:p>
    <w:p w14:paraId="59BA3D0B"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The passport program creates opportunities for partnerships with organizations that align with the educational and community mission of the Youth Fair. Potential partners include educational institutions, healthcare organizations, environmental groups, and corporate sponsors interested in youth engagement.</w:t>
      </w:r>
    </w:p>
    <w:p w14:paraId="58C4B44C"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Health-focused sponsors may support hydration awareness activities or wellness education stations. Technology or education companies may sponsor interactive learning exhibits or STEM-related engagement activities. Environmental organizations could support sustainability or conservation awareness stations within the community impact category.</w:t>
      </w:r>
    </w:p>
    <w:p w14:paraId="0D45B7A1"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t>These partnerships may strengthen the event’s positioning by reinforcing its educational mission while providing sponsors with meaningful engagement opportunities. Experiential sponsorships are particularly valuable because they allow brands to interact directly with event attendees rather than relying solely on passive advertising (Close &amp; Lacey, 2013). However, partnerships must also be evaluated carefully to avoid potential risks. Sponsors whose branding conflicts with youth development goals could introduce reputational concerns. Similarly, sponsors promoting products that may be considered inappropriate for youth audiences could weaken the event’s educational positioning. Clear sponsorship guidelines and brand alignment criteria are therefore necessary to maintain the integrity of the program.</w:t>
      </w:r>
    </w:p>
    <w:p w14:paraId="46A2642B"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Market Feasibility Conclusion</w:t>
      </w:r>
    </w:p>
    <w:p w14:paraId="5EE9A6CD" w14:textId="77777777" w:rsidR="00BA7D04" w:rsidRPr="00DB299E" w:rsidRDefault="00BA7D04"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 xml:space="preserve">Based on visitor behavior, comparable engagement programs, and sponsor partnership potential, the Youth Engagement Passport shows strong market feasibility for the Miami Dade County Youth Fair. It fits current behavior by motivating visitors to explore educational exhibits and community programming while keeping the entertainment focus of the fair. </w:t>
      </w:r>
      <w:r w:rsidRPr="00DB299E">
        <w:rPr>
          <w:color w:val="000000"/>
        </w:rPr>
        <w:t xml:space="preserve">The program adds value by turning </w:t>
      </w:r>
      <w:r w:rsidRPr="00DB299E">
        <w:rPr>
          <w:color w:val="000000"/>
        </w:rPr>
        <w:lastRenderedPageBreak/>
        <w:t>attendance into a structured interactive journey, gives sponsors measurable engagement opportunities, and supports the fair’s educational mission. Coordination and promotion are required, but they are manageable for a large multi-week event.</w:t>
      </w:r>
      <w:r w:rsidRPr="00DB299E">
        <w:rPr>
          <w:color w:val="000000"/>
          <w:sz w:val="22"/>
          <w:szCs w:val="22"/>
        </w:rPr>
        <w:t xml:space="preserve"> </w:t>
      </w:r>
      <w:r w:rsidRPr="00DB299E">
        <w:rPr>
          <w:color w:val="000000"/>
        </w:rPr>
        <w:t>Overall, the enhancement is likely to strengthen the fair’s market positioning by increasing youth engagement, improving sponsor interaction, and reinforcing its role as an educational and community focused event.</w:t>
      </w:r>
    </w:p>
    <w:p w14:paraId="44B0F6DD"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Step 3: Venue and Operational Feasibility</w:t>
      </w:r>
    </w:p>
    <w:p w14:paraId="53FB67CE" w14:textId="77777777" w:rsidR="00970E3D" w:rsidRPr="00DB299E" w:rsidRDefault="009D6B39"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 xml:space="preserve">Venue and operational feasibility </w:t>
      </w:r>
      <w:proofErr w:type="gramStart"/>
      <w:r w:rsidRPr="00DB299E">
        <w:rPr>
          <w:color w:val="000000"/>
          <w:sz w:val="22"/>
          <w:szCs w:val="22"/>
        </w:rPr>
        <w:t>evaluates</w:t>
      </w:r>
      <w:proofErr w:type="gramEnd"/>
      <w:r w:rsidRPr="00DB299E">
        <w:rPr>
          <w:color w:val="000000"/>
          <w:sz w:val="22"/>
          <w:szCs w:val="22"/>
        </w:rPr>
        <w:t xml:space="preserve"> whether the proposed Youth Engagement Passport can realistically operate within the physical layout and operational structure of the Miami-Dade County Youth Fair. Because the passport system is designed as a distributed engagement program rather than a centralized attraction, its feasibility depends largely on how effectively the program integrates with existing infrastructure, visitor flow patterns, and operational resources.</w:t>
      </w:r>
    </w:p>
    <w:p w14:paraId="6ECA3CC6"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Location within the Event Footprint</w:t>
      </w:r>
    </w:p>
    <w:p w14:paraId="5F8A6A32" w14:textId="77777777" w:rsidR="00BA7D04" w:rsidRPr="00DB299E" w:rsidRDefault="00BA7D04" w:rsidP="00DB299E">
      <w:pPr>
        <w:pStyle w:val="NormalWeb"/>
        <w:spacing w:before="240" w:beforeAutospacing="0" w:after="240" w:afterAutospacing="0" w:line="480" w:lineRule="auto"/>
        <w:ind w:firstLine="720"/>
        <w:rPr>
          <w:color w:val="000000"/>
          <w:sz w:val="22"/>
          <w:szCs w:val="22"/>
        </w:rPr>
      </w:pPr>
      <w:r w:rsidRPr="00DB299E">
        <w:t>The Youth Engagement Passport does not need one central location. It runs through multiple stations across the fairgrounds tied to four categories: Education and Discovery, Health Awareness, Sponsor Engagement, and Community Impact. This matches the fair’s existing layout with rides, halls, livestock areas, educational displays, food vendors, and sponsor booths. Moreover, passports can be handed out near main entrances and information booths, while stamp stations are placed at selected exhibits, sponsor activations, and partner booths across different zones. This encourages movement across the full event footprint instead of concentrating visitors in one area. Large fairs often use themed zones to manage flow and spread crowds, and the passport supports this by guiding participants toward underused areas while offering flexible stamp earning options (Getz &amp; Page, 2016).</w:t>
      </w:r>
    </w:p>
    <w:p w14:paraId="5C18DA27"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lastRenderedPageBreak/>
        <w:t>Capacity and Crowd Flow</w:t>
      </w:r>
    </w:p>
    <w:p w14:paraId="4075E9C7" w14:textId="77777777" w:rsidR="00CD4CE7" w:rsidRPr="00DB299E" w:rsidRDefault="00CD4CE7"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 xml:space="preserve">The passport program lowers congestion risk because stamps can be earned at multiple locations and through different activity options, so visitors are not forced to line up at one spot. For example, the Education and Discovery stamp can be completed at several exhibits or demonstrations, and Sponsor Engagement stamps can be earned at different activation stations such as photo booths or interactive brand experiences. </w:t>
      </w:r>
      <w:r w:rsidRPr="00DB299E">
        <w:rPr>
          <w:color w:val="000000"/>
        </w:rPr>
        <w:t>As a result, capacity limits depend mainly on how many participants each station can handle, not on the passport system itself. Most interactive booths move visitors quickly, and spreading stations across the fairgrounds further reduces overcrowding and improves circulation.</w:t>
      </w:r>
    </w:p>
    <w:p w14:paraId="06964872"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Accessibility</w:t>
      </w:r>
    </w:p>
    <w:p w14:paraId="4E65E606" w14:textId="77777777" w:rsidR="00CD4CE7" w:rsidRPr="00DB299E" w:rsidRDefault="00CD4CE7"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Because passport stations are placed within existing exhibits and booths, they should follow the same accessibility standards already required across the venue. The Miami Dade County Youth Fair operates in a regulated setting that must meet Americans with Disabilities Act requirements.</w:t>
      </w:r>
    </w:p>
    <w:p w14:paraId="36365F41" w14:textId="77777777" w:rsidR="00CD4CE7" w:rsidRPr="00DB299E" w:rsidRDefault="00CD4CE7" w:rsidP="00DB299E">
      <w:pPr>
        <w:pStyle w:val="NormalWeb"/>
        <w:spacing w:before="240" w:beforeAutospacing="0" w:after="240" w:afterAutospacing="0" w:line="480" w:lineRule="auto"/>
        <w:ind w:firstLine="720"/>
        <w:rPr>
          <w:color w:val="000000"/>
        </w:rPr>
      </w:pPr>
      <w:r w:rsidRPr="00DB299E">
        <w:rPr>
          <w:color w:val="000000"/>
        </w:rPr>
        <w:t>Most passport activities are brief and flexible, such as viewing exhibits, speaking with staff, joining demonstrations, or engaging with sponsor displays. With clear signage, accessible booth layouts, and inclusive activity design, the program can accommodate visitors with mobility limits and other accessibility needs.</w:t>
      </w:r>
    </w:p>
    <w:p w14:paraId="5EF109BE"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Infrastructure Requirements</w:t>
      </w:r>
    </w:p>
    <w:p w14:paraId="600FA2A7"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One of the advantages of the Youth Engagement Passport system is that it relies primarily on existing infrastructure. The program does not require construction of new permanent attractions or major venue modifications. Instead, it overlays an engagement structure onto exhibits, sponsor booths, and partner stations that already exist within the fair environment.</w:t>
      </w:r>
      <w:r w:rsidR="00970E3D" w:rsidRPr="00DB299E">
        <w:rPr>
          <w:sz w:val="22"/>
          <w:szCs w:val="22"/>
        </w:rPr>
        <w:t xml:space="preserve"> Furthermore, </w:t>
      </w:r>
      <w:r w:rsidR="00970E3D" w:rsidRPr="00DB299E">
        <w:rPr>
          <w:color w:val="000000"/>
          <w:sz w:val="22"/>
          <w:szCs w:val="22"/>
        </w:rPr>
        <w:t>t</w:t>
      </w:r>
      <w:r w:rsidRPr="00DB299E">
        <w:rPr>
          <w:color w:val="000000"/>
          <w:sz w:val="22"/>
          <w:szCs w:val="22"/>
        </w:rPr>
        <w:t xml:space="preserve">he primary infrastructure </w:t>
      </w:r>
      <w:r w:rsidRPr="00DB299E">
        <w:rPr>
          <w:color w:val="000000"/>
          <w:sz w:val="22"/>
          <w:szCs w:val="22"/>
        </w:rPr>
        <w:lastRenderedPageBreak/>
        <w:t>requirements include passport booklets, stamp verification materials, directional signage, and limited activation equipment such as photo booths or interactive sponsor displays. Many of these resources would be provided by sponsors operating activation stations. As a result, the enhancement can operate with minimal additional physical infrastructure.</w:t>
      </w:r>
    </w:p>
    <w:p w14:paraId="52DFB855"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Staffing and Volunteers</w:t>
      </w:r>
    </w:p>
    <w:p w14:paraId="6BAF82A6"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Staff or volunteers would be required at passport distribution points near main entrances to distribute passports and explain program rules. Additional volunteers may support coordination of stamp stations or assist participants who need guidance locating activities.</w:t>
      </w:r>
      <w:r w:rsidR="00CD4CE7" w:rsidRPr="00DB299E">
        <w:rPr>
          <w:sz w:val="22"/>
          <w:szCs w:val="22"/>
        </w:rPr>
        <w:t xml:space="preserve"> </w:t>
      </w:r>
      <w:r w:rsidRPr="00DB299E">
        <w:rPr>
          <w:color w:val="000000"/>
          <w:sz w:val="22"/>
          <w:szCs w:val="22"/>
        </w:rPr>
        <w:t>Because many stations are expected to be operated by sponsors or partner organizations, those partners would typically provide their own personnel to manage engagement activities. Event management staff would primarily oversee program coordination rather than direct operation of all stations.</w:t>
      </w:r>
    </w:p>
    <w:p w14:paraId="4733F81D"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Technology and Equipment</w:t>
      </w:r>
    </w:p>
    <w:p w14:paraId="2FC25A43"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Technology requirements for the passport program are relatively modest. Basic stamp verification may be conducted using physical stamps, which keeps implementation simple and inexpensive. Some sponsor activation stations may include additional equipment such as photo booths, digital displays, or interactive kiosks provided by sponsors.</w:t>
      </w:r>
      <w:r w:rsidR="00CD4CE7" w:rsidRPr="00DB299E">
        <w:rPr>
          <w:sz w:val="22"/>
          <w:szCs w:val="22"/>
        </w:rPr>
        <w:t xml:space="preserve"> </w:t>
      </w:r>
      <w:r w:rsidRPr="00DB299E">
        <w:rPr>
          <w:color w:val="000000"/>
          <w:sz w:val="22"/>
          <w:szCs w:val="22"/>
        </w:rPr>
        <w:t>Using simple stamp verification methods reduces the need for complex technology infrastructure while maintaining the gamified participation experience.</w:t>
      </w:r>
    </w:p>
    <w:p w14:paraId="4E0D7B21"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Load-in, Load-out, and Programming Impacts</w:t>
      </w:r>
    </w:p>
    <w:p w14:paraId="76398311"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 xml:space="preserve">Because most passport stations are integrated into existing booths or sponsor activations, the program is unlikely to significantly affect the event’s load-in and load-out schedule. Sponsors and exhibitors typically set up </w:t>
      </w:r>
      <w:r w:rsidR="00265169" w:rsidRPr="00DB299E">
        <w:rPr>
          <w:color w:val="000000"/>
          <w:sz w:val="22"/>
          <w:szCs w:val="22"/>
        </w:rPr>
        <w:t>booths</w:t>
      </w:r>
      <w:r w:rsidRPr="00DB299E">
        <w:rPr>
          <w:color w:val="000000"/>
          <w:sz w:val="22"/>
          <w:szCs w:val="22"/>
        </w:rPr>
        <w:t xml:space="preserve"> during standard event setup periods, and passport-related materials such as stamps and signage can be incorporated into the normal booth installation process.</w:t>
      </w:r>
      <w:r w:rsidR="00CD4CE7" w:rsidRPr="00DB299E">
        <w:rPr>
          <w:sz w:val="22"/>
          <w:szCs w:val="22"/>
        </w:rPr>
        <w:t xml:space="preserve"> </w:t>
      </w:r>
      <w:r w:rsidRPr="00DB299E">
        <w:rPr>
          <w:color w:val="000000"/>
          <w:sz w:val="22"/>
          <w:szCs w:val="22"/>
        </w:rPr>
        <w:t xml:space="preserve">Programming </w:t>
      </w:r>
      <w:r w:rsidRPr="00DB299E">
        <w:rPr>
          <w:color w:val="000000"/>
          <w:sz w:val="22"/>
          <w:szCs w:val="22"/>
        </w:rPr>
        <w:lastRenderedPageBreak/>
        <w:t>impacts are also minimal because the passport system operates alongside existing exhibits and activities rather than replacing or interrupting scheduled programming.</w:t>
      </w:r>
    </w:p>
    <w:p w14:paraId="17661A77"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Permits and Regulatory Considerations</w:t>
      </w:r>
    </w:p>
    <w:p w14:paraId="4312014D"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t>Large events operating in Miami-Dade County must comply with local permitting and regulatory requirements for public gatherings. Event organizers typically obtain a special event permit from the relevant municipal authority, which governs safety planning, crowd management, and operational compliance (City of Miami, n.d.).</w:t>
      </w:r>
    </w:p>
    <w:p w14:paraId="24C8B80C" w14:textId="77777777" w:rsidR="009D6B39" w:rsidRPr="00DB299E" w:rsidRDefault="009D6B39" w:rsidP="00DB299E">
      <w:pPr>
        <w:pStyle w:val="NormalWeb"/>
        <w:spacing w:before="240" w:beforeAutospacing="0" w:after="240" w:afterAutospacing="0" w:line="480" w:lineRule="auto"/>
        <w:ind w:firstLine="720"/>
        <w:rPr>
          <w:sz w:val="22"/>
          <w:szCs w:val="22"/>
        </w:rPr>
      </w:pPr>
      <w:r w:rsidRPr="00DB299E">
        <w:rPr>
          <w:color w:val="000000"/>
          <w:sz w:val="22"/>
          <w:szCs w:val="22"/>
        </w:rPr>
        <w:t>Because the Youth Engagement Passport operates within the existing event framework and does not introduce new high-risk attractions, additional permits are unlikely to be required beyond those already obtained by the fair. However, certain sponsor activations such as photo booths, branded giveaways, or promotional merchandise sales may require coordination with event management to ensure compliance with event policies and vendor regulations</w:t>
      </w:r>
      <w:r w:rsidR="00970E3D" w:rsidRPr="00DB299E">
        <w:rPr>
          <w:color w:val="000000"/>
          <w:sz w:val="22"/>
          <w:szCs w:val="22"/>
        </w:rPr>
        <w:t xml:space="preserve"> </w:t>
      </w:r>
      <w:r w:rsidRPr="00DB299E">
        <w:rPr>
          <w:color w:val="000000"/>
          <w:sz w:val="22"/>
          <w:szCs w:val="22"/>
        </w:rPr>
        <w:t>.</w:t>
      </w:r>
      <w:r w:rsidR="00970E3D" w:rsidRPr="00DB299E">
        <w:rPr>
          <w:sz w:val="22"/>
          <w:szCs w:val="22"/>
        </w:rPr>
        <w:t xml:space="preserve">Moreover, </w:t>
      </w:r>
      <w:r w:rsidR="00970E3D" w:rsidRPr="00DB299E">
        <w:rPr>
          <w:color w:val="000000"/>
          <w:sz w:val="22"/>
          <w:szCs w:val="22"/>
        </w:rPr>
        <w:t>i</w:t>
      </w:r>
      <w:r w:rsidRPr="00DB299E">
        <w:rPr>
          <w:color w:val="000000"/>
          <w:sz w:val="22"/>
          <w:szCs w:val="22"/>
        </w:rPr>
        <w:t>f merchandise items such as reusable water bottles are sold as part of optional passport activities, those sales would be handled through the fair’s existing retail or vendor licensing structure.</w:t>
      </w:r>
    </w:p>
    <w:p w14:paraId="43496C5E" w14:textId="77777777" w:rsidR="009D6B39" w:rsidRPr="00DB299E" w:rsidRDefault="009D6B39" w:rsidP="00DB299E">
      <w:pPr>
        <w:spacing w:line="480" w:lineRule="auto"/>
        <w:rPr>
          <w:rFonts w:ascii="Times New Roman" w:hAnsi="Times New Roman" w:cs="Times New Roman"/>
          <w:b/>
          <w:bCs/>
        </w:rPr>
      </w:pPr>
      <w:r w:rsidRPr="00DB299E">
        <w:rPr>
          <w:rFonts w:ascii="Times New Roman" w:hAnsi="Times New Roman" w:cs="Times New Roman"/>
          <w:b/>
          <w:bCs/>
        </w:rPr>
        <w:t>Operational Feasibility Conclusion</w:t>
      </w:r>
    </w:p>
    <w:p w14:paraId="72CF1AFA" w14:textId="77777777" w:rsidR="00CD4CE7" w:rsidRPr="00DB299E" w:rsidRDefault="00CD4CE7"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The Youth Engagement Passport appears operationally feasible within the Miami Dade County Youth Fair. Its distributed design fits into existing exhibits and sponsor booths with minimal infrastructure changes, which limits disruption and supports better circulation across the fairgrounds.</w:t>
      </w:r>
    </w:p>
    <w:p w14:paraId="0E4AD7F1" w14:textId="77777777" w:rsidR="00CD4CE7" w:rsidRPr="00DB299E" w:rsidRDefault="00CD4CE7" w:rsidP="00DB299E">
      <w:pPr>
        <w:pStyle w:val="NormalWeb"/>
        <w:spacing w:before="240" w:beforeAutospacing="0" w:after="240" w:afterAutospacing="0" w:line="480" w:lineRule="auto"/>
        <w:ind w:firstLine="720"/>
        <w:rPr>
          <w:color w:val="000000"/>
        </w:rPr>
      </w:pPr>
      <w:r w:rsidRPr="00DB299E">
        <w:rPr>
          <w:color w:val="000000"/>
        </w:rPr>
        <w:t xml:space="preserve">Congestion risk is reduced because participants can earn stamps at multiple locations, and staffing needs are modest since volunteers, event staff, and sponsor personnel can support most activities. Because it relies on existing infrastructure and standard permitting, it adds limited </w:t>
      </w:r>
      <w:r w:rsidRPr="00DB299E">
        <w:rPr>
          <w:color w:val="000000"/>
        </w:rPr>
        <w:lastRenderedPageBreak/>
        <w:t>operational or regulatory burden. Overall, the enhancement is realistic and compatible with the fair’s physical and logistical environment.</w:t>
      </w:r>
    </w:p>
    <w:p w14:paraId="684AFA69" w14:textId="77777777" w:rsidR="009D6B39" w:rsidRPr="00DB299E" w:rsidRDefault="009D6B39" w:rsidP="00DB299E">
      <w:pPr>
        <w:pStyle w:val="NormalWeb"/>
        <w:spacing w:before="240" w:beforeAutospacing="0" w:after="240" w:afterAutospacing="0" w:line="480" w:lineRule="auto"/>
        <w:rPr>
          <w:b/>
          <w:bCs/>
          <w:sz w:val="22"/>
          <w:szCs w:val="22"/>
        </w:rPr>
      </w:pPr>
      <w:r w:rsidRPr="00DB299E">
        <w:rPr>
          <w:b/>
          <w:bCs/>
          <w:sz w:val="22"/>
          <w:szCs w:val="22"/>
        </w:rPr>
        <w:t>Step 4: Risk and Legal Feasibility</w:t>
      </w:r>
    </w:p>
    <w:p w14:paraId="1F758163" w14:textId="77777777" w:rsidR="003E1D99" w:rsidRPr="00DB299E" w:rsidRDefault="003E1D99"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Risk and legal feasibility evaluate whether the Passport Journey introduces risks that exceed the Youth Fair’s ability to manage them. Event risk management guidance supports organizing risk identification across financial, operational, reputational, legal, and environmental categories (Silvers, 2008). The Passport Journey introduces moderate exposure</w:t>
      </w:r>
      <w:r w:rsidR="004D6C91" w:rsidRPr="00DB299E">
        <w:rPr>
          <w:color w:val="000000"/>
          <w:sz w:val="22"/>
          <w:szCs w:val="22"/>
        </w:rPr>
        <w:t xml:space="preserve"> to risks</w:t>
      </w:r>
      <w:r w:rsidRPr="00DB299E">
        <w:rPr>
          <w:color w:val="000000"/>
          <w:sz w:val="22"/>
          <w:szCs w:val="22"/>
        </w:rPr>
        <w:t xml:space="preserve"> because it operates as an overlay using existing infrastructure rather than a new physical attraction.</w:t>
      </w:r>
    </w:p>
    <w:p w14:paraId="79F17460" w14:textId="77777777" w:rsidR="003E1D99" w:rsidRPr="00DB299E" w:rsidRDefault="003E1D99"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 xml:space="preserve">Key risks include financial sponsor underperformance, operational bottlenecks at stamp stations, reputational risk from perceived over </w:t>
      </w:r>
      <w:r w:rsidR="00CD4CE7" w:rsidRPr="00DB299E">
        <w:rPr>
          <w:color w:val="000000"/>
          <w:sz w:val="22"/>
          <w:szCs w:val="22"/>
        </w:rPr>
        <w:t>commercialization</w:t>
      </w:r>
      <w:r w:rsidRPr="00DB299E">
        <w:rPr>
          <w:color w:val="000000"/>
          <w:sz w:val="22"/>
          <w:szCs w:val="22"/>
        </w:rPr>
        <w:t>, legal exposure related to minor participation, and environmental impacts such as paper waste</w:t>
      </w:r>
      <w:r w:rsidR="004D6C91" w:rsidRPr="00DB299E">
        <w:rPr>
          <w:color w:val="000000"/>
          <w:sz w:val="22"/>
          <w:szCs w:val="22"/>
        </w:rPr>
        <w:t xml:space="preserve"> (See appendix C)</w:t>
      </w:r>
      <w:r w:rsidRPr="00DB299E">
        <w:rPr>
          <w:color w:val="000000"/>
          <w:sz w:val="22"/>
          <w:szCs w:val="22"/>
        </w:rPr>
        <w:t>. To mitigate legal risk, social media participation is restricted to 18 plus, with no personal data stored for minors. Sponsor agreements should include liability and indemnification clauses, and an insurance rider review is recommended to confirm coverage for the activation stations. </w:t>
      </w:r>
    </w:p>
    <w:p w14:paraId="3F0A76AB" w14:textId="77777777" w:rsidR="003E1D99" w:rsidRPr="00DB299E" w:rsidRDefault="003E1D99"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Overall, risk levels remain moderate and manageable when safeguards are applied, particularly brand vetting and age segmentation controls.</w:t>
      </w:r>
    </w:p>
    <w:p w14:paraId="0F775843" w14:textId="77777777" w:rsidR="00970E3D" w:rsidRPr="00DB299E" w:rsidRDefault="00970E3D" w:rsidP="00DB299E">
      <w:pPr>
        <w:pStyle w:val="NormalWeb"/>
        <w:spacing w:before="240" w:beforeAutospacing="0" w:after="240" w:afterAutospacing="0" w:line="480" w:lineRule="auto"/>
        <w:rPr>
          <w:b/>
          <w:bCs/>
          <w:color w:val="000000"/>
          <w:sz w:val="22"/>
          <w:szCs w:val="22"/>
        </w:rPr>
      </w:pPr>
      <w:r w:rsidRPr="00DB299E">
        <w:rPr>
          <w:b/>
          <w:bCs/>
          <w:color w:val="000000"/>
          <w:sz w:val="22"/>
          <w:szCs w:val="22"/>
        </w:rPr>
        <w:t>Conclusion</w:t>
      </w:r>
    </w:p>
    <w:p w14:paraId="5027C24B" w14:textId="77777777" w:rsidR="00DB299E" w:rsidRDefault="00970E3D" w:rsidP="00DB299E">
      <w:pPr>
        <w:pStyle w:val="NormalWeb"/>
        <w:spacing w:before="240" w:beforeAutospacing="0" w:after="240" w:afterAutospacing="0" w:line="480" w:lineRule="auto"/>
        <w:ind w:firstLine="720"/>
        <w:rPr>
          <w:color w:val="000000"/>
          <w:sz w:val="22"/>
          <w:szCs w:val="22"/>
        </w:rPr>
      </w:pPr>
      <w:r w:rsidRPr="00DB299E">
        <w:rPr>
          <w:color w:val="000000"/>
          <w:sz w:val="22"/>
          <w:szCs w:val="22"/>
        </w:rPr>
        <w:t>Overall, the Youth Engagement Passport is a low risk, sponsor fundable enhancement that is financially viable, in demand for the target youth audience, and operationally compatible with the Miami Dade County Youth Fair. With clear partner coordination, crowd flow planning, and basic risk controls, the program can strengthen youth learning engagement and sponsor interaction without major cost or infrastructure changes.</w:t>
      </w:r>
    </w:p>
    <w:p w14:paraId="3E1CE296" w14:textId="2055A0D3" w:rsidR="00B27C1D" w:rsidRPr="00DB299E" w:rsidRDefault="00B27C1D" w:rsidP="00DB299E">
      <w:pPr>
        <w:pStyle w:val="NormalWeb"/>
        <w:spacing w:before="240" w:beforeAutospacing="0" w:after="240" w:afterAutospacing="0" w:line="480" w:lineRule="auto"/>
        <w:rPr>
          <w:color w:val="000000"/>
          <w:sz w:val="22"/>
          <w:szCs w:val="22"/>
        </w:rPr>
      </w:pPr>
      <w:r w:rsidRPr="00CA2588">
        <w:rPr>
          <w:b/>
          <w:bCs/>
          <w:sz w:val="22"/>
          <w:szCs w:val="22"/>
        </w:rPr>
        <w:lastRenderedPageBreak/>
        <w:t>Appendices:</w:t>
      </w:r>
    </w:p>
    <w:p w14:paraId="752D644A" w14:textId="77777777" w:rsidR="00B27C1D" w:rsidRPr="00CA2588" w:rsidRDefault="0006085C" w:rsidP="009D6B39">
      <w:pPr>
        <w:spacing w:line="480" w:lineRule="auto"/>
        <w:rPr>
          <w:rFonts w:ascii="Times New Roman" w:hAnsi="Times New Roman" w:cs="Times New Roman"/>
          <w:b/>
          <w:bCs/>
        </w:rPr>
      </w:pPr>
      <w:r w:rsidRPr="00CA2588">
        <w:rPr>
          <w:rFonts w:ascii="Times New Roman" w:hAnsi="Times New Roman" w:cs="Times New Roman"/>
          <w:b/>
          <w:bCs/>
        </w:rPr>
        <w:t xml:space="preserve">A: </w:t>
      </w:r>
      <w:r w:rsidR="00CA2588" w:rsidRPr="00CA2588">
        <w:rPr>
          <w:rFonts w:ascii="Times New Roman" w:hAnsi="Times New Roman" w:cs="Times New Roman"/>
          <w:b/>
          <w:bCs/>
        </w:rPr>
        <w:t>Stamps Category</w:t>
      </w:r>
      <w:r w:rsidR="00CA2588" w:rsidRPr="00CA2588">
        <w:rPr>
          <w:rFonts w:ascii="Times New Roman" w:hAnsi="Times New Roman" w:cs="Times New Roman"/>
          <w:b/>
          <w:bCs/>
          <w:noProof/>
        </w:rPr>
        <w:drawing>
          <wp:inline distT="0" distB="0" distL="0" distR="0" wp14:anchorId="6B00D87B" wp14:editId="2FF5697D">
            <wp:extent cx="5937250" cy="3962400"/>
            <wp:effectExtent l="0" t="0" r="6350" b="0"/>
            <wp:docPr id="1154276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696D55E1" w14:textId="77777777" w:rsidR="00D252D8" w:rsidRPr="00CA2588" w:rsidRDefault="00D252D8" w:rsidP="0010592D">
      <w:pPr>
        <w:spacing w:line="480" w:lineRule="auto"/>
        <w:rPr>
          <w:rFonts w:ascii="Times New Roman" w:hAnsi="Times New Roman" w:cs="Times New Roman"/>
          <w:b/>
          <w:bCs/>
        </w:rPr>
      </w:pPr>
      <w:r>
        <w:rPr>
          <w:rFonts w:ascii="Times New Roman" w:hAnsi="Times New Roman" w:cs="Times New Roman"/>
          <w:b/>
          <w:bCs/>
        </w:rPr>
        <w:t>B: Participant scenarios</w:t>
      </w:r>
      <w:r w:rsidRPr="00CA2588">
        <w:rPr>
          <w:rFonts w:ascii="Times New Roman" w:hAnsi="Times New Roman" w:cs="Times New Roman"/>
          <w:noProof/>
          <w:color w:val="000000"/>
          <w:bdr w:val="none" w:sz="0" w:space="0" w:color="auto" w:frame="1"/>
        </w:rPr>
        <w:drawing>
          <wp:inline distT="0" distB="0" distL="0" distR="0" wp14:anchorId="6D1298D5" wp14:editId="5FE7F22E">
            <wp:extent cx="5943600" cy="1758950"/>
            <wp:effectExtent l="0" t="0" r="0" b="0"/>
            <wp:docPr id="2128966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58950"/>
                    </a:xfrm>
                    <a:prstGeom prst="rect">
                      <a:avLst/>
                    </a:prstGeom>
                    <a:noFill/>
                    <a:ln>
                      <a:noFill/>
                    </a:ln>
                  </pic:spPr>
                </pic:pic>
              </a:graphicData>
            </a:graphic>
          </wp:inline>
        </w:drawing>
      </w:r>
    </w:p>
    <w:p w14:paraId="22848144" w14:textId="77777777" w:rsidR="003E1D99" w:rsidRDefault="004D6C91">
      <w:pPr>
        <w:rPr>
          <w:rFonts w:ascii="Times New Roman" w:hAnsi="Times New Roman" w:cs="Times New Roman"/>
          <w:b/>
          <w:bCs/>
        </w:rPr>
      </w:pPr>
      <w:r>
        <w:rPr>
          <w:rFonts w:ascii="Times New Roman" w:hAnsi="Times New Roman" w:cs="Times New Roman"/>
          <w:b/>
          <w:bCs/>
        </w:rPr>
        <w:t xml:space="preserve">C: </w:t>
      </w:r>
      <w:r w:rsidR="00970E3D">
        <w:rPr>
          <w:rFonts w:ascii="Times New Roman" w:hAnsi="Times New Roman" w:cs="Times New Roman"/>
          <w:b/>
          <w:bCs/>
        </w:rPr>
        <w:t xml:space="preserve">Risks assessment </w:t>
      </w:r>
      <w:r>
        <w:rPr>
          <w:rFonts w:ascii="Times New Roman" w:hAnsi="Times New Roman" w:cs="Times New Roman"/>
          <w:b/>
          <w:bCs/>
        </w:rPr>
        <w:br/>
        <w:t xml:space="preserve"> </w:t>
      </w:r>
      <w:r>
        <w:rPr>
          <w:rFonts w:ascii="Times New Roman" w:hAnsi="Times New Roman" w:cs="Times New Roman"/>
          <w:b/>
          <w:bCs/>
        </w:rPr>
        <w:br/>
      </w:r>
      <w:r w:rsidR="003E1D99">
        <w:rPr>
          <w:rFonts w:ascii="Times New Roman" w:hAnsi="Times New Roman" w:cs="Times New Roman"/>
          <w:b/>
          <w:bCs/>
        </w:rPr>
        <w:br w:type="page"/>
      </w:r>
    </w:p>
    <w:p w14:paraId="505FD017" w14:textId="77777777" w:rsidR="00E76442" w:rsidRPr="00DB299E" w:rsidRDefault="00E76442" w:rsidP="00E76442">
      <w:pPr>
        <w:spacing w:line="480" w:lineRule="auto"/>
        <w:rPr>
          <w:rFonts w:ascii="Times New Roman" w:hAnsi="Times New Roman" w:cs="Times New Roman"/>
          <w:b/>
          <w:bCs/>
          <w:sz w:val="24"/>
          <w:szCs w:val="24"/>
        </w:rPr>
      </w:pPr>
      <w:r w:rsidRPr="00DB299E">
        <w:rPr>
          <w:rFonts w:ascii="Times New Roman" w:hAnsi="Times New Roman" w:cs="Times New Roman"/>
          <w:b/>
          <w:bCs/>
          <w:sz w:val="24"/>
          <w:szCs w:val="24"/>
        </w:rPr>
        <w:lastRenderedPageBreak/>
        <w:t xml:space="preserve">References </w:t>
      </w:r>
    </w:p>
    <w:p w14:paraId="06BED9A7"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City of Miami. (n.d.). Get a special events permit. Retrieved April 8, 2026, from https://www.miami.gov/Permits-Construction/Filming-and-Events/Get-a-Special-Events-Permit</w:t>
      </w:r>
    </w:p>
    <w:p w14:paraId="62B0803B"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Close, A. G., &amp; Lacey, R. (2013). Fit matters? Asymmetrical impact for effectiveness on sponsors and event marketers. Sport Marketing Quarterly, 22(2), 71–82. https://doi.org/10.1177/106169341302200203</w:t>
      </w:r>
    </w:p>
    <w:p w14:paraId="283449DA"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Martin, A. (2018, April 17). Everything you need to know about event gamification. Eventbrite. https://www.eventbrite.co.uk/blog/event-gamification-ds00/</w:t>
      </w:r>
    </w:p>
    <w:p w14:paraId="7901F1AE"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Krissansen, J. (2024, January 2). Mastering event risk management in 2024: A complete guide. Eventbrite. https://www.eventbrite.com/blog/event-risk-management/</w:t>
      </w:r>
    </w:p>
    <w:p w14:paraId="5AA196F9" w14:textId="77777777" w:rsidR="00643634" w:rsidRPr="00DB299E" w:rsidRDefault="00000000">
      <w:pPr>
        <w:rPr>
          <w:rFonts w:ascii="Times New Roman" w:hAnsi="Times New Roman" w:cs="Times New Roman"/>
          <w:sz w:val="24"/>
          <w:szCs w:val="24"/>
        </w:rPr>
      </w:pPr>
      <w:r w:rsidRPr="00DB299E">
        <w:rPr>
          <w:rFonts w:ascii="Times New Roman" w:hAnsi="Times New Roman" w:cs="Times New Roman"/>
          <w:sz w:val="24"/>
          <w:szCs w:val="24"/>
        </w:rPr>
        <w:t>Occupational Safety and Health Administration. (n.d.). Water. Rest. Shade. Retrieved April 8, 2026, from https://www.osha.gov/heat-exposure/water-rest-shade</w:t>
      </w:r>
    </w:p>
    <w:p w14:paraId="0429A48E"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Expo 2020 Dubai. (2021, September 9). </w:t>
      </w:r>
      <w:r w:rsidRPr="00DB299E">
        <w:rPr>
          <w:rFonts w:ascii="Times New Roman" w:hAnsi="Times New Roman" w:cs="Times New Roman"/>
          <w:i/>
          <w:iCs/>
          <w:sz w:val="24"/>
          <w:szCs w:val="24"/>
        </w:rPr>
        <w:t>Around the world in 182 days with the Expo 2020 Dubai passport</w:t>
      </w:r>
      <w:r w:rsidRPr="00DB299E">
        <w:rPr>
          <w:rFonts w:ascii="Times New Roman" w:hAnsi="Times New Roman" w:cs="Times New Roman"/>
          <w:sz w:val="24"/>
          <w:szCs w:val="24"/>
        </w:rPr>
        <w:t xml:space="preserve">. </w:t>
      </w:r>
      <w:hyperlink r:id="rId17" w:tgtFrame="_new" w:history="1">
        <w:r w:rsidRPr="00DB299E">
          <w:rPr>
            <w:rStyle w:val="Hyperlink"/>
            <w:rFonts w:ascii="Times New Roman" w:hAnsi="Times New Roman" w:cs="Times New Roman"/>
            <w:sz w:val="24"/>
            <w:szCs w:val="24"/>
          </w:rPr>
          <w:t>https://www.expo2020dubai.com/en/news/expo2020-passport</w:t>
        </w:r>
      </w:hyperlink>
      <w:r w:rsidRPr="00DB299E">
        <w:rPr>
          <w:rFonts w:ascii="Times New Roman" w:hAnsi="Times New Roman" w:cs="Times New Roman"/>
          <w:sz w:val="24"/>
          <w:szCs w:val="24"/>
        </w:rPr>
        <w:t xml:space="preserve"> </w:t>
      </w:r>
    </w:p>
    <w:p w14:paraId="4C9A83BF"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Getz, D., &amp; Page, S. J. (2016). </w:t>
      </w:r>
      <w:r w:rsidRPr="00DB299E">
        <w:rPr>
          <w:rFonts w:ascii="Times New Roman" w:hAnsi="Times New Roman" w:cs="Times New Roman"/>
          <w:i/>
          <w:iCs/>
          <w:sz w:val="24"/>
          <w:szCs w:val="24"/>
        </w:rPr>
        <w:t>Event studies: Theory, research and policy for planned events</w:t>
      </w:r>
      <w:r w:rsidRPr="00DB299E">
        <w:rPr>
          <w:rFonts w:ascii="Times New Roman" w:hAnsi="Times New Roman" w:cs="Times New Roman"/>
          <w:sz w:val="24"/>
          <w:szCs w:val="24"/>
        </w:rPr>
        <w:t xml:space="preserve"> (3rd ed.). Routledge. </w:t>
      </w:r>
    </w:p>
    <w:p w14:paraId="5EBD1E03"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International Association of Fairs and Expos. (n.d.). History of fairs. Retrieved April 8, 2026, from https://fairsandexpos.com/history-of-fairs/</w:t>
      </w:r>
    </w:p>
    <w:p w14:paraId="18353AF3"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Miami-Dade County Fair &amp; Exposition, Inc. (n.d.-a). Get to know us. Retrieved April 8, 2026, from https://www.fairexpo.com/about</w:t>
      </w:r>
    </w:p>
    <w:p w14:paraId="4D23384B"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 xml:space="preserve">Silvers, J. R. (2008). </w:t>
      </w:r>
      <w:r w:rsidRPr="00DB299E">
        <w:rPr>
          <w:rFonts w:ascii="Times New Roman" w:hAnsi="Times New Roman" w:cs="Times New Roman"/>
          <w:i/>
          <w:iCs/>
          <w:sz w:val="24"/>
          <w:szCs w:val="24"/>
        </w:rPr>
        <w:t>Risk management for meetings and events</w:t>
      </w:r>
      <w:r w:rsidRPr="00DB299E">
        <w:rPr>
          <w:rFonts w:ascii="Times New Roman" w:hAnsi="Times New Roman" w:cs="Times New Roman"/>
          <w:sz w:val="24"/>
          <w:szCs w:val="24"/>
        </w:rPr>
        <w:t xml:space="preserve">. Butterworth Heinemann. </w:t>
      </w:r>
    </w:p>
    <w:p w14:paraId="5B33820A"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The National. (2021a, November 9). Expo 2020 Dubai: More than 700,000 souvenir passports sold. https://www.thenationalnews.com/uae/expo-2020/2021/11/09/expo-2020-dubai-more-than-700000-souvenir-passports-sold/</w:t>
      </w:r>
    </w:p>
    <w:p w14:paraId="6210AFF1"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The National. (2021b, September 27). How to get a “passport stamp” from every country at Expo 2020 Dubai. https://www.thenationalnews.com/uae/expo-2020/2021/09/27/how-to-get-a-passport-stamp-from-every-country-at-expo-2020-dubai/</w:t>
      </w:r>
    </w:p>
    <w:p w14:paraId="353AA97C" w14:textId="77777777" w:rsidR="00D66107" w:rsidRPr="00DB299E" w:rsidRDefault="00D66107" w:rsidP="00D66107">
      <w:pPr>
        <w:spacing w:line="240" w:lineRule="auto"/>
        <w:ind w:left="720" w:hanging="720"/>
        <w:rPr>
          <w:rFonts w:ascii="Times New Roman" w:hAnsi="Times New Roman" w:cs="Times New Roman"/>
          <w:sz w:val="24"/>
          <w:szCs w:val="24"/>
        </w:rPr>
      </w:pPr>
      <w:r w:rsidRPr="00DB299E">
        <w:rPr>
          <w:rFonts w:ascii="Times New Roman" w:hAnsi="Times New Roman" w:cs="Times New Roman"/>
          <w:sz w:val="24"/>
          <w:szCs w:val="24"/>
        </w:rPr>
        <w:t>Walt Disney World Resort. (n.d.). Kidcot fun stops. Retrieved April 8, 2026, from https://disneyworld.disney.go.com/attractions/epcot/kidcot-fun-stops/</w:t>
      </w:r>
    </w:p>
    <w:p w14:paraId="2684DA55" w14:textId="77777777" w:rsidR="007E160F" w:rsidRPr="00DB299E" w:rsidRDefault="007E160F">
      <w:pPr>
        <w:rPr>
          <w:rFonts w:ascii="Times New Roman" w:hAnsi="Times New Roman" w:cs="Times New Roman"/>
          <w:sz w:val="24"/>
          <w:szCs w:val="24"/>
        </w:rPr>
      </w:pPr>
      <w:r w:rsidRPr="00DB299E">
        <w:rPr>
          <w:rFonts w:ascii="Times New Roman" w:hAnsi="Times New Roman" w:cs="Times New Roman"/>
          <w:sz w:val="24"/>
          <w:szCs w:val="24"/>
        </w:rPr>
        <w:br w:type="page"/>
      </w:r>
    </w:p>
    <w:p w14:paraId="444080EB" w14:textId="77777777" w:rsidR="00073E1D" w:rsidRPr="009A39F0" w:rsidRDefault="00073E1D" w:rsidP="00073E1D">
      <w:pPr>
        <w:rPr>
          <w:rFonts w:ascii="Times New Roman" w:hAnsi="Times New Roman" w:cs="Times New Roman"/>
        </w:rPr>
      </w:pPr>
    </w:p>
    <w:p w14:paraId="799E9E3F" w14:textId="77777777" w:rsidR="00073E1D" w:rsidRPr="009A39F0" w:rsidRDefault="00073E1D" w:rsidP="00073E1D">
      <w:pPr>
        <w:spacing w:line="240" w:lineRule="auto"/>
        <w:jc w:val="center"/>
        <w:rPr>
          <w:rFonts w:ascii="Times New Roman" w:hAnsi="Times New Roman" w:cs="Times New Roman"/>
          <w:b/>
          <w:bCs/>
          <w:sz w:val="40"/>
          <w:szCs w:val="40"/>
        </w:rPr>
      </w:pPr>
      <w:r w:rsidRPr="009A39F0">
        <w:rPr>
          <w:rFonts w:ascii="Times New Roman" w:hAnsi="Times New Roman" w:cs="Times New Roman"/>
          <w:b/>
          <w:bCs/>
          <w:sz w:val="40"/>
          <w:szCs w:val="40"/>
        </w:rPr>
        <w:t>Miami-Dade County Youth Fair Enhancement: Passport Journey Part 3</w:t>
      </w:r>
    </w:p>
    <w:p w14:paraId="5529BFC9" w14:textId="77777777" w:rsidR="00073E1D" w:rsidRPr="009A39F0" w:rsidRDefault="00073E1D" w:rsidP="00073E1D">
      <w:pPr>
        <w:spacing w:line="240" w:lineRule="auto"/>
        <w:jc w:val="center"/>
        <w:rPr>
          <w:rFonts w:ascii="Times New Roman" w:hAnsi="Times New Roman" w:cs="Times New Roman"/>
          <w:b/>
          <w:bCs/>
          <w:sz w:val="40"/>
          <w:szCs w:val="40"/>
        </w:rPr>
      </w:pPr>
    </w:p>
    <w:p w14:paraId="3DAF6740" w14:textId="77777777" w:rsidR="00073E1D" w:rsidRPr="009A39F0" w:rsidRDefault="00073E1D" w:rsidP="00073E1D">
      <w:pPr>
        <w:spacing w:line="480" w:lineRule="auto"/>
        <w:jc w:val="center"/>
        <w:rPr>
          <w:rFonts w:ascii="Times New Roman" w:hAnsi="Times New Roman" w:cs="Times New Roman"/>
          <w:b/>
          <w:bCs/>
          <w:sz w:val="32"/>
          <w:szCs w:val="32"/>
        </w:rPr>
      </w:pPr>
      <w:r w:rsidRPr="009A39F0">
        <w:rPr>
          <w:rFonts w:ascii="Times New Roman" w:hAnsi="Times New Roman" w:cs="Times New Roman"/>
          <w:b/>
          <w:bCs/>
          <w:noProof/>
          <w:sz w:val="32"/>
          <w:szCs w:val="32"/>
        </w:rPr>
        <w:drawing>
          <wp:inline distT="0" distB="0" distL="0" distR="0" wp14:anchorId="1C3233E4" wp14:editId="4CFD76B0">
            <wp:extent cx="2480945" cy="3601372"/>
            <wp:effectExtent l="0" t="0" r="0" b="0"/>
            <wp:docPr id="16087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8745" name="Picture 500288745"/>
                    <pic:cNvPicPr/>
                  </pic:nvPicPr>
                  <pic:blipFill>
                    <a:blip r:embed="rId7">
                      <a:extLst>
                        <a:ext uri="{28A0092B-C50C-407E-A947-70E740481C1C}">
                          <a14:useLocalDpi xmlns:a14="http://schemas.microsoft.com/office/drawing/2010/main" val="0"/>
                        </a:ext>
                      </a:extLst>
                    </a:blip>
                    <a:stretch>
                      <a:fillRect/>
                    </a:stretch>
                  </pic:blipFill>
                  <pic:spPr>
                    <a:xfrm>
                      <a:off x="0" y="0"/>
                      <a:ext cx="2541553" cy="3689351"/>
                    </a:xfrm>
                    <a:prstGeom prst="rect">
                      <a:avLst/>
                    </a:prstGeom>
                  </pic:spPr>
                </pic:pic>
              </a:graphicData>
            </a:graphic>
          </wp:inline>
        </w:drawing>
      </w:r>
    </w:p>
    <w:p w14:paraId="0D18C4F1" w14:textId="77777777" w:rsidR="00073E1D" w:rsidRPr="009A39F0" w:rsidRDefault="00073E1D" w:rsidP="00073E1D">
      <w:pPr>
        <w:spacing w:line="480" w:lineRule="auto"/>
        <w:jc w:val="center"/>
        <w:rPr>
          <w:rFonts w:ascii="Times New Roman" w:hAnsi="Times New Roman" w:cs="Times New Roman"/>
          <w:b/>
          <w:bCs/>
          <w:sz w:val="32"/>
          <w:szCs w:val="32"/>
        </w:rPr>
      </w:pPr>
    </w:p>
    <w:p w14:paraId="0A47F7FE" w14:textId="77777777" w:rsidR="00073E1D" w:rsidRPr="009A39F0" w:rsidRDefault="00073E1D" w:rsidP="00073E1D">
      <w:pPr>
        <w:spacing w:line="240" w:lineRule="auto"/>
        <w:jc w:val="center"/>
        <w:rPr>
          <w:rFonts w:ascii="Times New Roman" w:hAnsi="Times New Roman" w:cs="Times New Roman"/>
          <w:b/>
          <w:bCs/>
          <w:sz w:val="32"/>
          <w:szCs w:val="32"/>
        </w:rPr>
      </w:pPr>
      <w:r w:rsidRPr="009A39F0">
        <w:rPr>
          <w:rFonts w:ascii="Times New Roman" w:hAnsi="Times New Roman" w:cs="Times New Roman"/>
          <w:b/>
          <w:bCs/>
          <w:sz w:val="32"/>
          <w:szCs w:val="32"/>
        </w:rPr>
        <w:t xml:space="preserve">By: </w:t>
      </w:r>
      <w:proofErr w:type="spellStart"/>
      <w:r w:rsidRPr="009A39F0">
        <w:rPr>
          <w:rFonts w:ascii="Times New Roman" w:hAnsi="Times New Roman" w:cs="Times New Roman"/>
          <w:b/>
          <w:bCs/>
          <w:sz w:val="32"/>
          <w:szCs w:val="32"/>
        </w:rPr>
        <w:t>Abdulgader</w:t>
      </w:r>
      <w:proofErr w:type="spellEnd"/>
      <w:r w:rsidRPr="009A39F0">
        <w:rPr>
          <w:rFonts w:ascii="Times New Roman" w:hAnsi="Times New Roman" w:cs="Times New Roman"/>
          <w:b/>
          <w:bCs/>
          <w:sz w:val="32"/>
          <w:szCs w:val="32"/>
        </w:rPr>
        <w:t xml:space="preserve"> Turkistani &amp; Salem Alhabshi</w:t>
      </w:r>
    </w:p>
    <w:p w14:paraId="060185B9" w14:textId="77777777" w:rsidR="00073E1D" w:rsidRPr="009A39F0" w:rsidRDefault="00073E1D" w:rsidP="00073E1D">
      <w:pPr>
        <w:spacing w:line="240" w:lineRule="auto"/>
        <w:jc w:val="center"/>
        <w:rPr>
          <w:rFonts w:ascii="Times New Roman" w:hAnsi="Times New Roman" w:cs="Times New Roman"/>
          <w:b/>
          <w:bCs/>
          <w:sz w:val="32"/>
          <w:szCs w:val="32"/>
        </w:rPr>
      </w:pPr>
      <w:r w:rsidRPr="009A39F0">
        <w:rPr>
          <w:rFonts w:ascii="Times New Roman" w:hAnsi="Times New Roman" w:cs="Times New Roman"/>
          <w:b/>
          <w:bCs/>
          <w:sz w:val="32"/>
          <w:szCs w:val="32"/>
        </w:rPr>
        <w:t>Florida International University</w:t>
      </w:r>
    </w:p>
    <w:p w14:paraId="0373B166" w14:textId="77777777" w:rsidR="00073E1D" w:rsidRPr="009A39F0" w:rsidRDefault="00073E1D" w:rsidP="00073E1D">
      <w:pPr>
        <w:spacing w:line="240" w:lineRule="auto"/>
        <w:jc w:val="center"/>
        <w:rPr>
          <w:rFonts w:ascii="Times New Roman" w:hAnsi="Times New Roman" w:cs="Times New Roman"/>
          <w:b/>
          <w:bCs/>
          <w:sz w:val="32"/>
          <w:szCs w:val="32"/>
        </w:rPr>
      </w:pPr>
      <w:r w:rsidRPr="009A39F0">
        <w:rPr>
          <w:rFonts w:ascii="Times New Roman" w:hAnsi="Times New Roman" w:cs="Times New Roman"/>
          <w:b/>
          <w:bCs/>
          <w:sz w:val="32"/>
          <w:szCs w:val="32"/>
        </w:rPr>
        <w:t>Mega Event Enhancement Feasibility Study</w:t>
      </w:r>
    </w:p>
    <w:p w14:paraId="08694976" w14:textId="77777777" w:rsidR="00073E1D" w:rsidRPr="009A39F0" w:rsidRDefault="00073E1D" w:rsidP="00073E1D">
      <w:pPr>
        <w:rPr>
          <w:rFonts w:ascii="Times New Roman" w:hAnsi="Times New Roman" w:cs="Times New Roman"/>
        </w:rPr>
      </w:pPr>
      <w:r w:rsidRPr="009A39F0">
        <w:rPr>
          <w:rFonts w:ascii="Times New Roman" w:hAnsi="Times New Roman" w:cs="Times New Roman"/>
        </w:rPr>
        <w:br w:type="page"/>
      </w:r>
    </w:p>
    <w:p w14:paraId="4A33D835"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lastRenderedPageBreak/>
        <w:t>3. Final Feasibility Assessment</w:t>
      </w:r>
    </w:p>
    <w:p w14:paraId="41FA46C4"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t>3.1 Social and Community Feasibility</w:t>
      </w:r>
    </w:p>
    <w:p w14:paraId="39799B0E"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The proposed Passport Journey enhancement appears socially feasible because it aligns with the Miami-Dade County Youth Fair’s established role as a youth-centered, educational, and community-serving event. Rather than introducing a completely new attraction, it adds a low-cost, optional, gamified layer to the existing fair experience that can guide visitors toward exhibits, community-oriented stations, and sponsor activations they might otherwise overlook. This fit is especially important because the fair identifies itself as a community-based organization that supports scholarships, youth achievement, and public benefit (Miami-Dade County Fair &amp; Exposition, Inc., n.d.). Because the enhancement is layered onto existing operations and does not require permanent construction, land acquisition, or removal of existing community uses, displacement risk also appears limited.</w:t>
      </w:r>
    </w:p>
    <w:p w14:paraId="093E375D"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The Passport Journey can create social value in three main ways. First, it can increase youth engagement by turning passive attendance into a more purposeful and interactive experience; Xu et al. (2024) found that gamified learning in informal educational environments can improve engagement, attention, and knowledge outcomes. Second, it can strengthen the fair’s placemaking function by helping visitors experience the venue as a connected environment rather than a series of unrelated attractions. Third, it can improve the social value of sponsorship when activations support learning and discovery instead of passive brand exposure. Close et al. (2006) argue that event marketing is strongest when it connects attendees, sponsors, and the host community, while Hsiao et al. (2021) found that experiential sponsor activation can improve sponsor satisfaction, brand equity, and purchase intention.</w:t>
      </w:r>
    </w:p>
    <w:p w14:paraId="32DEA501"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lastRenderedPageBreak/>
        <w:t>The main stakeholders are youth participants using the passport and sponsors supporting activations, followed by parents and educators, community partners, accessibility stakeholders, fair management, and local businesses or exhibitors affected by how visitor attention is distributed across the fairgrounds. Overall support is likely to be positive but conditional. Youth participants are likely to respond well to a gamified reward structure, and sponsors are likely to value more measurable engagement than traditional signage. However, support may weaken if popular stations create localized congestion, if non-participating exhibitors perceive visibility imbalances, or if sponsor activity appears too commercial for a youth-oriented setting. Parents, educators, accessibility advocates, and fair management are therefore likely to judge the enhancement not only by enjoyment, but also by safety, inclusion, mission fit, and operational control.</w:t>
      </w:r>
    </w:p>
    <w:p w14:paraId="226CF660"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To strengthen social and community feasibility, four implementation controls are most important: geographically distributing stations across the fairgrounds, offering multiple completion options within each passport category, screening sponsors for mission alignment with youth development or community benefit, and using inclusive design supported by bilingual signage, accessible layouts, and visible staff or volunteers at hubs and high-traffic areas. Fair management should also gather simple post-event feedback from youth participants, parents, schools, sponsors, and community partners after the first implementation cycle. Together, these measures would reduce crowding and reputational risk while supporting trust, fairness, and accessibility.</w:t>
      </w:r>
    </w:p>
    <w:p w14:paraId="493480A4"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t>3.2 Environmental Feasibility</w:t>
      </w:r>
    </w:p>
    <w:p w14:paraId="7E37DD27" w14:textId="77777777" w:rsidR="00073E1D" w:rsidRPr="00F31A50" w:rsidRDefault="00073E1D" w:rsidP="00073E1D">
      <w:pPr>
        <w:spacing w:line="480" w:lineRule="auto"/>
        <w:ind w:firstLine="720"/>
        <w:rPr>
          <w:rFonts w:ascii="Times New Roman" w:hAnsi="Times New Roman" w:cs="Times New Roman"/>
          <w:color w:val="000000"/>
          <w:sz w:val="24"/>
          <w:szCs w:val="24"/>
        </w:rPr>
      </w:pPr>
      <w:r w:rsidRPr="00F31A50">
        <w:rPr>
          <w:rFonts w:ascii="Times New Roman" w:hAnsi="Times New Roman" w:cs="Times New Roman"/>
          <w:sz w:val="24"/>
          <w:szCs w:val="24"/>
        </w:rPr>
        <w:t xml:space="preserve">The Passport Journey appears environmentally feasible because it relies on existing venue infrastructure, circulation patterns, and event programming rather than requiring new </w:t>
      </w:r>
      <w:r w:rsidRPr="00F31A50">
        <w:rPr>
          <w:rFonts w:ascii="Times New Roman" w:hAnsi="Times New Roman" w:cs="Times New Roman"/>
          <w:sz w:val="24"/>
          <w:szCs w:val="24"/>
        </w:rPr>
        <w:lastRenderedPageBreak/>
        <w:t xml:space="preserve">permanent construction or major site modifications. Compared with a new built attraction, this gives the enhancement a lower baseline environmental footprint, but environmental feasibility still depends on how materials, electricity, waste, and logistics are managed. As Cavallin Toscani et al. (2024) argue, event sustainability requires attention to </w:t>
      </w:r>
      <w:proofErr w:type="gramStart"/>
      <w:r w:rsidRPr="00F31A50">
        <w:rPr>
          <w:rFonts w:ascii="Times New Roman" w:hAnsi="Times New Roman" w:cs="Times New Roman"/>
          <w:sz w:val="24"/>
          <w:szCs w:val="24"/>
        </w:rPr>
        <w:t>operational</w:t>
      </w:r>
      <w:proofErr w:type="gramEnd"/>
      <w:r w:rsidRPr="00F31A50">
        <w:rPr>
          <w:rFonts w:ascii="Times New Roman" w:hAnsi="Times New Roman" w:cs="Times New Roman"/>
          <w:sz w:val="24"/>
          <w:szCs w:val="24"/>
        </w:rPr>
        <w:t xml:space="preserve"> and lifecycle impacts rather than treating environmental concerns as secondary considerations.</w:t>
      </w:r>
    </w:p>
    <w:p w14:paraId="402C2F9B"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The main environmental issues are energy use, waste generation, and emissions. A printed passport with manual stamps would have very little direct energy demand, but the footprint increases if activation stations rely on digital screens, lighting, sound equipment, kiosks, or photo booths. Waste can also rise through printed passports, maps, temporary signage, sponsor giveaways, packaging-heavy promotional materials, and other novelty items that create little lasting value. In addition, emissions are likely to come less from the passport booklet itself than from printing, delivery of materials, electricity use at activation stations, and sponsor-related logistics.</w:t>
      </w:r>
    </w:p>
    <w:p w14:paraId="7A2B32AF"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Because the concept is low-infrastructure, these impacts should remain manageable if the program stays relatively low-tech, uses controlled printing, limits disposable materials, and avoids unnecessary energy-intensive station design. GHG Protocol (n.d.) emphasizes that greenhouse gas accounting should be based on defined boundaries and reliable activity data, while the EIC Sustainable Event Standards support event-specific planning across materials, climate action, accessibility, social impact, and related operational areas (Events Industry Council, n.d.; GHG Protocol, n.d.). Accordingly, the fair should use basic material, waste, electricity, and logistics tracking during the first full implementation cycle rather than relying only on general sustainability intentions.</w:t>
      </w:r>
    </w:p>
    <w:p w14:paraId="66445A8F"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b/>
          <w:bCs/>
          <w:color w:val="000000"/>
          <w:kern w:val="0"/>
          <w:sz w:val="24"/>
          <w:szCs w:val="24"/>
          <w14:ligatures w14:val="none"/>
        </w:rPr>
      </w:pPr>
      <w:r w:rsidRPr="00F31A50">
        <w:rPr>
          <w:rFonts w:ascii="Times New Roman" w:hAnsi="Times New Roman" w:cs="Times New Roman"/>
          <w:sz w:val="24"/>
          <w:szCs w:val="24"/>
        </w:rPr>
        <w:lastRenderedPageBreak/>
        <w:t>Overall, the Passport Journey is environmentally feasible, but only if environmental controls are built into the design from the beginning. Its low-infrastructure nature is a clear advantage, yet that advantage is meaningful only when materials, waste, electricity use, and measurement are actively managed and reviewed.</w:t>
      </w:r>
    </w:p>
    <w:p w14:paraId="67530ADF"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t>3.3 Sustainability Strategy</w:t>
      </w:r>
    </w:p>
    <w:p w14:paraId="77D4EE91" w14:textId="77777777" w:rsidR="00073E1D" w:rsidRPr="00F31A50" w:rsidRDefault="00073E1D" w:rsidP="00073E1D">
      <w:pPr>
        <w:pStyle w:val="NormalWeb"/>
        <w:spacing w:line="480" w:lineRule="auto"/>
        <w:ind w:firstLine="720"/>
        <w:rPr>
          <w:color w:val="000000"/>
        </w:rPr>
      </w:pPr>
      <w:r w:rsidRPr="00F31A50">
        <w:t>A credible sustainability strategy for the Passport Journey must go beyond describing the enhancement as “green.” It should explain how the program will manage resources responsibly, reduce avoidable waste, limit incremental environmental impacts, and evaluate performance using recognized event standards. The most appropriate overarching framework for this purpose is ISO 20121:2024, which is specifically designed for event sustainability management and promotes the integration of environmental, social, and economic considerations into planning and operations (International Organization for Standardization, 2024).</w:t>
      </w:r>
    </w:p>
    <w:p w14:paraId="3ED11D8C" w14:textId="77777777" w:rsidR="00073E1D" w:rsidRPr="00F31A50" w:rsidRDefault="00073E1D" w:rsidP="00073E1D">
      <w:pPr>
        <w:pStyle w:val="NormalWeb"/>
        <w:spacing w:line="480" w:lineRule="auto"/>
        <w:ind w:firstLine="720"/>
        <w:rPr>
          <w:color w:val="000000"/>
        </w:rPr>
      </w:pPr>
      <w:r w:rsidRPr="00F31A50">
        <w:t xml:space="preserve">The </w:t>
      </w:r>
      <w:proofErr w:type="gramStart"/>
      <w:r w:rsidRPr="00F31A50">
        <w:t>first priority</w:t>
      </w:r>
      <w:proofErr w:type="gramEnd"/>
      <w:r w:rsidRPr="00F31A50">
        <w:t xml:space="preserve"> is resource management and waste reduction through intentional passport design. The Passport Journey should use a simple multi-page printed passport that is accessible and easy for youth participants to use, while minimizing unnecessary inserts, excessive packaging, and low-value add-ons. For the full launch, the front page should state, “bring me next year for a reward or recycle me,” and one page should be made from seed paper labeled “Plant me!” to encourage reuse, post-event action, and waste reduction. Print quantities should be phased rather than overproduced, recycled or responsibly sourced paper should be used wherever possible except for the designated seed-paper page, signage should be reusable across multiple years, and rewards or sponsor giveaways should favor reusable, educational, or mission-linked items rather than single-use products. Waste and recycling stations should also be </w:t>
      </w:r>
      <w:r w:rsidRPr="00F31A50">
        <w:lastRenderedPageBreak/>
        <w:t>positioned near passport hubs and monitored in high-traffic areas, consistent with event sustainability literature that emphasizes lifecycle thinking and material efficiency (Cavallin Toscani et al., 2024).</w:t>
      </w:r>
    </w:p>
    <w:p w14:paraId="77675AD9" w14:textId="77777777" w:rsidR="00073E1D" w:rsidRPr="00F31A50" w:rsidRDefault="00073E1D" w:rsidP="00073E1D">
      <w:pPr>
        <w:pStyle w:val="NormalWeb"/>
        <w:spacing w:line="480" w:lineRule="auto"/>
        <w:ind w:firstLine="720"/>
        <w:rPr>
          <w:color w:val="000000"/>
        </w:rPr>
      </w:pPr>
      <w:r w:rsidRPr="00F31A50">
        <w:t>The strategy should also make sustainability visible to participants rather than treating it as a backstage issue only. The reuse message on the cover and the seed-paper page turn the passport itself into a small educational action, which is especially appropriate in a youth-centered setting because it links participation, learning, and stewardship without adding complex operational demands.</w:t>
      </w:r>
    </w:p>
    <w:p w14:paraId="5315329D" w14:textId="77777777" w:rsidR="00073E1D" w:rsidRPr="00F31A50" w:rsidRDefault="00073E1D" w:rsidP="00073E1D">
      <w:pPr>
        <w:pStyle w:val="NormalWeb"/>
        <w:spacing w:line="480" w:lineRule="auto"/>
        <w:ind w:firstLine="720"/>
        <w:rPr>
          <w:color w:val="000000"/>
        </w:rPr>
      </w:pPr>
      <w:r w:rsidRPr="00F31A50">
        <w:t>The next priority is to limit energy use and measure carbon-related impacts. Because the Passport Journey is layered onto an existing event, it is unrealistic to claim that it will independently transform regional transport behavior; however, it can still reduce incremental impact by discouraging energy-intensive station designs, encouraging sponsors to use efficient equipment and simple power-down procedures, and keeping the program primarily paper-based and stamp-based. During the first full implementation cycle, the fair should estimate impacts associated with printed materials, seed-paper production, selected electrical loads, deliveries, and sponsor logistics. The strongest approach is to measure impacts first, reduce what can reasonably be reduced, and only then consider any offsetting of unavoidable residual emissions. This follows GHG Protocol (n.d.), which emphasizes formal inventory development before emissions estimates are used for management decisions.</w:t>
      </w:r>
    </w:p>
    <w:p w14:paraId="6F438D92" w14:textId="77777777" w:rsidR="00073E1D" w:rsidRPr="00F31A50" w:rsidRDefault="00073E1D" w:rsidP="00073E1D">
      <w:pPr>
        <w:pStyle w:val="NormalWeb"/>
        <w:spacing w:line="480" w:lineRule="auto"/>
        <w:ind w:firstLine="720"/>
        <w:rPr>
          <w:color w:val="FF0000"/>
        </w:rPr>
      </w:pPr>
      <w:r w:rsidRPr="00F31A50">
        <w:t xml:space="preserve">Governance and continuous improvement are also essential. The EIC Sustainable Event Standards provide practical guidance and metrics across materials and circularity, climate action, accessibility, and social impact (Events Industry Council, n.d.). A simple launch-year </w:t>
      </w:r>
      <w:r w:rsidRPr="00F31A50">
        <w:lastRenderedPageBreak/>
        <w:t>sustainability dashboard should therefore track indicators such as passports printed and distributed, completion rates, seed-paper use, estimated reuse or recycling, reusable versus disposable rewards, powered stations, visible waste incidents, and selected emissions estimates related to printing and electricity.</w:t>
      </w:r>
    </w:p>
    <w:p w14:paraId="0D9B0065" w14:textId="77777777" w:rsidR="00073E1D" w:rsidRPr="00F31A50" w:rsidRDefault="00073E1D" w:rsidP="00073E1D">
      <w:pPr>
        <w:pStyle w:val="NormalWeb"/>
        <w:spacing w:line="480" w:lineRule="auto"/>
        <w:ind w:firstLine="720"/>
        <w:rPr>
          <w:color w:val="000000"/>
        </w:rPr>
      </w:pPr>
      <w:r w:rsidRPr="00F31A50">
        <w:t>If any digital elements such as QR codes, mobile access, or app-based participation are added, the safest and most practical approach for minors is a low-data or no-data model. Federal Trade Commission (n.d.) guidance on COPPA notes that child-directed online services collecting personal information from children under 13 must provide notice, obtain verifiable parental consent, and avoid collecting more information than is reasonably necessary. Accordingly, minors should be able to participate fully without mandatory personal data collection.</w:t>
      </w:r>
    </w:p>
    <w:p w14:paraId="0E6ADAD1" w14:textId="77777777" w:rsidR="00073E1D" w:rsidRPr="00F31A50" w:rsidRDefault="00073E1D" w:rsidP="00073E1D">
      <w:pPr>
        <w:pStyle w:val="NormalWeb"/>
        <w:spacing w:line="480" w:lineRule="auto"/>
        <w:ind w:firstLine="720"/>
        <w:rPr>
          <w:color w:val="000000"/>
        </w:rPr>
      </w:pPr>
      <w:r w:rsidRPr="00F31A50">
        <w:t>Overall, the Passport Journey can support long-term sustainability objectives, but only if sustainability is embedded in the operating model from the start. With ISO 20121, GHG Protocol, and the EIC standards guiding design, measurement, and review, the enhancement can move toward a more measurable, responsible, and scalable launch.</w:t>
      </w:r>
    </w:p>
    <w:p w14:paraId="34593947"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t>3.4 Feasibility Score Card</w:t>
      </w:r>
    </w:p>
    <w:p w14:paraId="5DF718DB"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To support final decision-making, the Passport Journey was evaluated using a 1–5 Feasibility Score Card that synthesizes findings from all stages of the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781"/>
        <w:gridCol w:w="6646"/>
      </w:tblGrid>
      <w:tr w:rsidR="00073E1D" w:rsidRPr="00F31A50" w14:paraId="39A54BE4" w14:textId="77777777" w:rsidTr="00CE19F2">
        <w:trPr>
          <w:tblHeader/>
          <w:tblCellSpacing w:w="15" w:type="dxa"/>
        </w:trPr>
        <w:tc>
          <w:tcPr>
            <w:tcW w:w="0" w:type="auto"/>
            <w:vAlign w:val="center"/>
            <w:hideMark/>
          </w:tcPr>
          <w:p w14:paraId="6B816F02" w14:textId="77777777" w:rsidR="00073E1D" w:rsidRPr="00F31A50" w:rsidRDefault="00073E1D" w:rsidP="00CE19F2">
            <w:pPr>
              <w:spacing w:after="0" w:line="480" w:lineRule="auto"/>
              <w:jc w:val="center"/>
              <w:rPr>
                <w:rFonts w:ascii="Times New Roman" w:eastAsia="Times New Roman" w:hAnsi="Times New Roman" w:cs="Times New Roman"/>
                <w:b/>
                <w:bCs/>
                <w:kern w:val="0"/>
                <w:sz w:val="24"/>
                <w:szCs w:val="24"/>
                <w14:ligatures w14:val="none"/>
              </w:rPr>
            </w:pPr>
            <w:r w:rsidRPr="00F31A50">
              <w:rPr>
                <w:rFonts w:ascii="Times New Roman" w:eastAsia="Times New Roman" w:hAnsi="Times New Roman" w:cs="Times New Roman"/>
                <w:b/>
                <w:bCs/>
                <w:kern w:val="0"/>
                <w:sz w:val="24"/>
                <w:szCs w:val="24"/>
                <w14:ligatures w14:val="none"/>
              </w:rPr>
              <w:t>Area</w:t>
            </w:r>
          </w:p>
        </w:tc>
        <w:tc>
          <w:tcPr>
            <w:tcW w:w="0" w:type="auto"/>
            <w:vAlign w:val="center"/>
            <w:hideMark/>
          </w:tcPr>
          <w:p w14:paraId="5F8C9DAE" w14:textId="77777777" w:rsidR="00073E1D" w:rsidRPr="00F31A50" w:rsidRDefault="00073E1D" w:rsidP="00CE19F2">
            <w:pPr>
              <w:spacing w:after="0" w:line="480" w:lineRule="auto"/>
              <w:jc w:val="center"/>
              <w:rPr>
                <w:rFonts w:ascii="Times New Roman" w:eastAsia="Times New Roman" w:hAnsi="Times New Roman" w:cs="Times New Roman"/>
                <w:b/>
                <w:bCs/>
                <w:kern w:val="0"/>
                <w:sz w:val="24"/>
                <w:szCs w:val="24"/>
                <w14:ligatures w14:val="none"/>
              </w:rPr>
            </w:pPr>
            <w:r w:rsidRPr="00F31A50">
              <w:rPr>
                <w:rFonts w:ascii="Times New Roman" w:eastAsia="Times New Roman" w:hAnsi="Times New Roman" w:cs="Times New Roman"/>
                <w:b/>
                <w:bCs/>
                <w:kern w:val="0"/>
                <w:sz w:val="24"/>
                <w:szCs w:val="24"/>
                <w14:ligatures w14:val="none"/>
              </w:rPr>
              <w:t>Score (1–5)</w:t>
            </w:r>
          </w:p>
        </w:tc>
        <w:tc>
          <w:tcPr>
            <w:tcW w:w="0" w:type="auto"/>
            <w:vAlign w:val="center"/>
            <w:hideMark/>
          </w:tcPr>
          <w:p w14:paraId="308A0317" w14:textId="77777777" w:rsidR="00073E1D" w:rsidRPr="00F31A50" w:rsidRDefault="00073E1D" w:rsidP="00CE19F2">
            <w:pPr>
              <w:spacing w:after="0" w:line="480" w:lineRule="auto"/>
              <w:jc w:val="center"/>
              <w:rPr>
                <w:rFonts w:ascii="Times New Roman" w:eastAsia="Times New Roman" w:hAnsi="Times New Roman" w:cs="Times New Roman"/>
                <w:b/>
                <w:bCs/>
                <w:kern w:val="0"/>
                <w:sz w:val="24"/>
                <w:szCs w:val="24"/>
                <w14:ligatures w14:val="none"/>
              </w:rPr>
            </w:pPr>
            <w:r w:rsidRPr="00F31A50">
              <w:rPr>
                <w:rFonts w:ascii="Times New Roman" w:eastAsia="Times New Roman" w:hAnsi="Times New Roman" w:cs="Times New Roman"/>
                <w:b/>
                <w:bCs/>
                <w:kern w:val="0"/>
                <w:sz w:val="24"/>
                <w:szCs w:val="24"/>
                <w14:ligatures w14:val="none"/>
              </w:rPr>
              <w:t>Justification</w:t>
            </w:r>
          </w:p>
        </w:tc>
      </w:tr>
      <w:tr w:rsidR="00073E1D" w:rsidRPr="00F31A50" w14:paraId="5D1DC4C2" w14:textId="77777777" w:rsidTr="00CE19F2">
        <w:trPr>
          <w:tblCellSpacing w:w="15" w:type="dxa"/>
        </w:trPr>
        <w:tc>
          <w:tcPr>
            <w:tcW w:w="0" w:type="auto"/>
            <w:vAlign w:val="center"/>
            <w:hideMark/>
          </w:tcPr>
          <w:p w14:paraId="155D4F0F"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Financial Feasibility</w:t>
            </w:r>
          </w:p>
        </w:tc>
        <w:tc>
          <w:tcPr>
            <w:tcW w:w="0" w:type="auto"/>
            <w:vAlign w:val="center"/>
            <w:hideMark/>
          </w:tcPr>
          <w:p w14:paraId="37AEB523"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4</w:t>
            </w:r>
          </w:p>
        </w:tc>
        <w:tc>
          <w:tcPr>
            <w:tcW w:w="0" w:type="auto"/>
            <w:vAlign w:val="center"/>
            <w:hideMark/>
          </w:tcPr>
          <w:p w14:paraId="4467CC84"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The enhancement remains relatively affordable because it uses existing infrastructure, low-cost printed materials, and sponsor-</w:t>
            </w:r>
            <w:r w:rsidRPr="00F31A50">
              <w:rPr>
                <w:rFonts w:ascii="Times New Roman" w:hAnsi="Times New Roman" w:cs="Times New Roman"/>
                <w:sz w:val="24"/>
                <w:szCs w:val="24"/>
              </w:rPr>
              <w:lastRenderedPageBreak/>
              <w:t>supported activations rather than new construction or a separate event build.</w:t>
            </w:r>
          </w:p>
        </w:tc>
      </w:tr>
      <w:tr w:rsidR="00073E1D" w:rsidRPr="00F31A50" w14:paraId="2C472BBF" w14:textId="77777777" w:rsidTr="00CE19F2">
        <w:trPr>
          <w:tblCellSpacing w:w="15" w:type="dxa"/>
        </w:trPr>
        <w:tc>
          <w:tcPr>
            <w:tcW w:w="0" w:type="auto"/>
            <w:vAlign w:val="center"/>
            <w:hideMark/>
          </w:tcPr>
          <w:p w14:paraId="5A123A64"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lastRenderedPageBreak/>
              <w:t>Operational Feasibility</w:t>
            </w:r>
          </w:p>
        </w:tc>
        <w:tc>
          <w:tcPr>
            <w:tcW w:w="0" w:type="auto"/>
            <w:vAlign w:val="center"/>
            <w:hideMark/>
          </w:tcPr>
          <w:p w14:paraId="0856E819"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4</w:t>
            </w:r>
          </w:p>
        </w:tc>
        <w:tc>
          <w:tcPr>
            <w:tcW w:w="0" w:type="auto"/>
            <w:vAlign w:val="center"/>
            <w:hideMark/>
          </w:tcPr>
          <w:p w14:paraId="0912AB6D"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The concept fits the venue and event structure, and the remaining coordination demands are manageable through distributed stations, multiple completion options, clear signage, visible staff support, and on-site monitoring.</w:t>
            </w:r>
          </w:p>
        </w:tc>
      </w:tr>
      <w:tr w:rsidR="00073E1D" w:rsidRPr="00F31A50" w14:paraId="0034E44C" w14:textId="77777777" w:rsidTr="00CE19F2">
        <w:trPr>
          <w:tblCellSpacing w:w="15" w:type="dxa"/>
        </w:trPr>
        <w:tc>
          <w:tcPr>
            <w:tcW w:w="0" w:type="auto"/>
            <w:vAlign w:val="center"/>
            <w:hideMark/>
          </w:tcPr>
          <w:p w14:paraId="41660C3D"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Market Feasibility</w:t>
            </w:r>
          </w:p>
        </w:tc>
        <w:tc>
          <w:tcPr>
            <w:tcW w:w="0" w:type="auto"/>
            <w:vAlign w:val="center"/>
            <w:hideMark/>
          </w:tcPr>
          <w:p w14:paraId="02F04F70"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5</w:t>
            </w:r>
          </w:p>
        </w:tc>
        <w:tc>
          <w:tcPr>
            <w:tcW w:w="0" w:type="auto"/>
            <w:vAlign w:val="center"/>
            <w:hideMark/>
          </w:tcPr>
          <w:p w14:paraId="582435E8"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The enhancement strongly fits youth behavior, sponsor objectives, and the fair’s educational identity while remaining simple for visitors to understand and use.</w:t>
            </w:r>
          </w:p>
        </w:tc>
      </w:tr>
      <w:tr w:rsidR="00073E1D" w:rsidRPr="00F31A50" w14:paraId="2CA9B5E0" w14:textId="77777777" w:rsidTr="00CE19F2">
        <w:trPr>
          <w:tblCellSpacing w:w="15" w:type="dxa"/>
        </w:trPr>
        <w:tc>
          <w:tcPr>
            <w:tcW w:w="0" w:type="auto"/>
            <w:vAlign w:val="center"/>
            <w:hideMark/>
          </w:tcPr>
          <w:p w14:paraId="0826E804"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Social &amp; Community Feasibility</w:t>
            </w:r>
          </w:p>
        </w:tc>
        <w:tc>
          <w:tcPr>
            <w:tcW w:w="0" w:type="auto"/>
            <w:vAlign w:val="center"/>
            <w:hideMark/>
          </w:tcPr>
          <w:p w14:paraId="579FA1F7"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4</w:t>
            </w:r>
          </w:p>
        </w:tc>
        <w:tc>
          <w:tcPr>
            <w:tcW w:w="0" w:type="auto"/>
            <w:vAlign w:val="center"/>
            <w:hideMark/>
          </w:tcPr>
          <w:p w14:paraId="22157802"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 xml:space="preserve">Community alignment is strong, </w:t>
            </w:r>
            <w:proofErr w:type="gramStart"/>
            <w:r w:rsidRPr="00F31A50">
              <w:rPr>
                <w:rFonts w:ascii="Times New Roman" w:hAnsi="Times New Roman" w:cs="Times New Roman"/>
                <w:sz w:val="24"/>
                <w:szCs w:val="24"/>
              </w:rPr>
              <w:t>provided that</w:t>
            </w:r>
            <w:proofErr w:type="gramEnd"/>
            <w:r w:rsidRPr="00F31A50">
              <w:rPr>
                <w:rFonts w:ascii="Times New Roman" w:hAnsi="Times New Roman" w:cs="Times New Roman"/>
                <w:sz w:val="24"/>
                <w:szCs w:val="24"/>
              </w:rPr>
              <w:t xml:space="preserve"> sponsor fit, accessibility, visible safeguards, and congestion management remain built into implementation.</w:t>
            </w:r>
          </w:p>
        </w:tc>
      </w:tr>
      <w:tr w:rsidR="00073E1D" w:rsidRPr="00F31A50" w14:paraId="1453A347" w14:textId="77777777" w:rsidTr="00CE19F2">
        <w:trPr>
          <w:tblCellSpacing w:w="15" w:type="dxa"/>
        </w:trPr>
        <w:tc>
          <w:tcPr>
            <w:tcW w:w="0" w:type="auto"/>
            <w:vAlign w:val="center"/>
            <w:hideMark/>
          </w:tcPr>
          <w:p w14:paraId="05B3215A"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Environmental Feasibility</w:t>
            </w:r>
          </w:p>
        </w:tc>
        <w:tc>
          <w:tcPr>
            <w:tcW w:w="0" w:type="auto"/>
            <w:vAlign w:val="center"/>
            <w:hideMark/>
          </w:tcPr>
          <w:p w14:paraId="44133E68"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4</w:t>
            </w:r>
          </w:p>
        </w:tc>
        <w:tc>
          <w:tcPr>
            <w:tcW w:w="0" w:type="auto"/>
            <w:vAlign w:val="center"/>
            <w:hideMark/>
          </w:tcPr>
          <w:p w14:paraId="314DE4EA"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 xml:space="preserve">Environmental impacts are relatively limited and manageable because the enhancement is </w:t>
            </w:r>
            <w:proofErr w:type="gramStart"/>
            <w:r w:rsidRPr="00F31A50">
              <w:rPr>
                <w:rFonts w:ascii="Times New Roman" w:hAnsi="Times New Roman" w:cs="Times New Roman"/>
                <w:sz w:val="24"/>
                <w:szCs w:val="24"/>
              </w:rPr>
              <w:t>low-infrastructure</w:t>
            </w:r>
            <w:proofErr w:type="gramEnd"/>
            <w:r w:rsidRPr="00F31A50">
              <w:rPr>
                <w:rFonts w:ascii="Times New Roman" w:hAnsi="Times New Roman" w:cs="Times New Roman"/>
                <w:sz w:val="24"/>
                <w:szCs w:val="24"/>
              </w:rPr>
              <w:t>, but materials, waste, electricity use, and sponsor logistics must still be actively controlled and tracked.</w:t>
            </w:r>
          </w:p>
        </w:tc>
      </w:tr>
      <w:tr w:rsidR="00073E1D" w:rsidRPr="00F31A50" w14:paraId="02E6D512" w14:textId="77777777" w:rsidTr="00CE19F2">
        <w:trPr>
          <w:tblCellSpacing w:w="15" w:type="dxa"/>
        </w:trPr>
        <w:tc>
          <w:tcPr>
            <w:tcW w:w="0" w:type="auto"/>
            <w:vAlign w:val="center"/>
            <w:hideMark/>
          </w:tcPr>
          <w:p w14:paraId="67AB8C18"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Sustainability Readiness</w:t>
            </w:r>
          </w:p>
        </w:tc>
        <w:tc>
          <w:tcPr>
            <w:tcW w:w="0" w:type="auto"/>
            <w:vAlign w:val="center"/>
            <w:hideMark/>
          </w:tcPr>
          <w:p w14:paraId="3B2A627D"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4</w:t>
            </w:r>
          </w:p>
        </w:tc>
        <w:tc>
          <w:tcPr>
            <w:tcW w:w="0" w:type="auto"/>
            <w:vAlign w:val="center"/>
            <w:hideMark/>
          </w:tcPr>
          <w:p w14:paraId="64113338" w14:textId="77777777" w:rsidR="00073E1D" w:rsidRPr="00F31A50" w:rsidRDefault="00073E1D" w:rsidP="00CE19F2">
            <w:pPr>
              <w:rPr>
                <w:rFonts w:ascii="Times New Roman" w:hAnsi="Times New Roman" w:cs="Times New Roman"/>
                <w:sz w:val="24"/>
                <w:szCs w:val="24"/>
              </w:rPr>
            </w:pPr>
            <w:r w:rsidRPr="00F31A50">
              <w:rPr>
                <w:rFonts w:ascii="Times New Roman" w:hAnsi="Times New Roman" w:cs="Times New Roman"/>
                <w:sz w:val="24"/>
                <w:szCs w:val="24"/>
              </w:rPr>
              <w:t>The concept includes clear reuse, waste reduction, measurement, and governance features, although its long-term sustainability performance will still depend on disciplined execution and review.</w:t>
            </w:r>
          </w:p>
        </w:tc>
      </w:tr>
    </w:tbl>
    <w:p w14:paraId="6C88D254" w14:textId="77777777" w:rsidR="00073E1D" w:rsidRPr="00F31A50" w:rsidRDefault="00073E1D" w:rsidP="00073E1D">
      <w:pPr>
        <w:spacing w:before="100" w:beforeAutospacing="1" w:after="100" w:afterAutospacing="1" w:line="480" w:lineRule="auto"/>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Total Score: 25/30</w:t>
      </w:r>
    </w:p>
    <w:p w14:paraId="57F9C299"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This score indicates that the Passport Journey is a strong and manageable enhancement that is suitable for full launch, provided that the recommended operational, social, environmental, and sustainability controls are implemented from the outset.</w:t>
      </w:r>
    </w:p>
    <w:p w14:paraId="23AB4F82" w14:textId="77777777" w:rsidR="00073E1D" w:rsidRPr="00F31A50" w:rsidRDefault="00073E1D" w:rsidP="00073E1D">
      <w:pPr>
        <w:spacing w:line="276" w:lineRule="auto"/>
        <w:rPr>
          <w:rFonts w:ascii="Times New Roman" w:hAnsi="Times New Roman" w:cs="Times New Roman"/>
          <w:b/>
          <w:bCs/>
          <w:sz w:val="24"/>
          <w:szCs w:val="24"/>
        </w:rPr>
      </w:pPr>
      <w:r w:rsidRPr="00F31A50">
        <w:rPr>
          <w:rFonts w:ascii="Times New Roman" w:hAnsi="Times New Roman" w:cs="Times New Roman"/>
          <w:b/>
          <w:bCs/>
          <w:sz w:val="24"/>
          <w:szCs w:val="24"/>
        </w:rPr>
        <w:t>3.5 Final Conclusion and Recommendations</w:t>
      </w:r>
    </w:p>
    <w:p w14:paraId="7E160597"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 xml:space="preserve">Based on all feasibility dimensions examined across the semester, this study recommends proceeding with the full launch of the Passport Journey starting year 2027. This conclusion is </w:t>
      </w:r>
      <w:r w:rsidRPr="00F31A50">
        <w:rPr>
          <w:rFonts w:ascii="Times New Roman" w:hAnsi="Times New Roman" w:cs="Times New Roman"/>
          <w:sz w:val="24"/>
          <w:szCs w:val="24"/>
        </w:rPr>
        <w:lastRenderedPageBreak/>
        <w:t>appropriate because the enhancement performs well across the major decision categories and does not require a new built attraction, a separate event structure, or a highly complex operating model. It is financially proportionate, market-relevant, socially valuable, and operationally compatible with the Youth Fair’s existing setting. It also aligns with the fair’s identity as a community-serving educational event, reinforced by its scholarship activity, large attendance, and long-standing community contribution (Miami-Dade County Fair &amp; Exposition, Inc., n.d.).</w:t>
      </w:r>
    </w:p>
    <w:p w14:paraId="2DE16A1E"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The case for full launch is strengthened by the simplicity of the concept itself. For visitors, the enhancement is easy to understand and does not depend on complex behavior: participants collect a passport, complete activities, receive stamps, and work toward a reward-based outcome. For organizers, the program is layered onto existing fair operations rather than requiring a separate venue, major construction, or a heavily technical delivery model. For sponsors, the concept provides a clearer engagement opportunity than passive signage alone. These factors do not make the enhancement risk-free, but they do make it manageable within the fair’s current capabilities.</w:t>
      </w:r>
    </w:p>
    <w:p w14:paraId="3BB0C8E8"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 xml:space="preserve">The remaining risks are not negligible, but they are considered manageable rather than prohibitive. Localized congestion can be reduced through careful station distribution, multiple completion options, visible staff support, and real-time operational adjustment. Sponsor-related risks can be reduced through clear selection criteria and mission alignment. Environmental risks can be reduced through controlled printing, reusable signage, low-energy activation design, waste and recycling support, and basic tracking of materials and electricity use from the first year. Safeguarding and trust can be protected by using inclusive design features, clear wayfinding, and a low-data or no-data approach for minors if any digital elements are added. In </w:t>
      </w:r>
      <w:r w:rsidRPr="00F31A50">
        <w:rPr>
          <w:rFonts w:ascii="Times New Roman" w:hAnsi="Times New Roman" w:cs="Times New Roman"/>
          <w:sz w:val="24"/>
          <w:szCs w:val="24"/>
        </w:rPr>
        <w:lastRenderedPageBreak/>
        <w:t>other words, the key constraints identified in the study are implementation controls, not feasibility barriers.</w:t>
      </w:r>
    </w:p>
    <w:p w14:paraId="0818351E"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 xml:space="preserve">The following recommendations should guide full implementation from year one. First, sponsor activations should be screened for mission alignment, with preference given to organizations connected to youth development, health, education, or community benefit. Second, each passport category should offer multiple activity options to reduce lines and preserve participant choice. Third, passport stations should be geographically dispersed across the fairgrounds to avoid crowd bottlenecks and encourage circulation. Fourth, printed materials and signage should be designed around reuse, recycling, and waste prevention, including the multi-page passport, seed-paper element, and reuse message on the front page. Fifth, environmental performance should be tracked through a simple dashboard informed by GHG Protocol and the EIC standards. Sixth, passport hubs should use visible staff support, clear wayfinding, and overflow management practices </w:t>
      </w:r>
      <w:proofErr w:type="gramStart"/>
      <w:r w:rsidRPr="00F31A50">
        <w:rPr>
          <w:rFonts w:ascii="Times New Roman" w:hAnsi="Times New Roman" w:cs="Times New Roman"/>
          <w:sz w:val="24"/>
          <w:szCs w:val="24"/>
        </w:rPr>
        <w:t>in order to</w:t>
      </w:r>
      <w:proofErr w:type="gramEnd"/>
      <w:r w:rsidRPr="00F31A50">
        <w:rPr>
          <w:rFonts w:ascii="Times New Roman" w:hAnsi="Times New Roman" w:cs="Times New Roman"/>
          <w:sz w:val="24"/>
          <w:szCs w:val="24"/>
        </w:rPr>
        <w:t xml:space="preserve"> protect safety and user experience. Seventh, any digital participation feature should follow a low-data or no-data model for minors unless full child privacy compliance is in place. Eighth, the fair should implement a formal post-event stakeholder review involving youth participants, parents, educators, sponsors, local businesses, and community organizations so that future editions can be refined </w:t>
      </w:r>
      <w:proofErr w:type="gramStart"/>
      <w:r w:rsidRPr="00F31A50">
        <w:rPr>
          <w:rFonts w:ascii="Times New Roman" w:hAnsi="Times New Roman" w:cs="Times New Roman"/>
          <w:sz w:val="24"/>
          <w:szCs w:val="24"/>
        </w:rPr>
        <w:t>on the basis of</w:t>
      </w:r>
      <w:proofErr w:type="gramEnd"/>
      <w:r w:rsidRPr="00F31A50">
        <w:rPr>
          <w:rFonts w:ascii="Times New Roman" w:hAnsi="Times New Roman" w:cs="Times New Roman"/>
          <w:sz w:val="24"/>
          <w:szCs w:val="24"/>
        </w:rPr>
        <w:t xml:space="preserve"> evidence.</w:t>
      </w:r>
    </w:p>
    <w:p w14:paraId="23BA624B" w14:textId="77777777" w:rsidR="00073E1D" w:rsidRPr="00F31A50" w:rsidRDefault="00073E1D" w:rsidP="00073E1D">
      <w:pPr>
        <w:spacing w:before="100" w:beforeAutospacing="1" w:after="100" w:afterAutospacing="1" w:line="480" w:lineRule="auto"/>
        <w:ind w:firstLine="720"/>
        <w:rPr>
          <w:rFonts w:ascii="Times New Roman" w:eastAsia="Times New Roman" w:hAnsi="Times New Roman" w:cs="Times New Roman"/>
          <w:color w:val="000000"/>
          <w:kern w:val="0"/>
          <w:sz w:val="24"/>
          <w:szCs w:val="24"/>
          <w14:ligatures w14:val="none"/>
        </w:rPr>
      </w:pPr>
      <w:r w:rsidRPr="00F31A50">
        <w:rPr>
          <w:rFonts w:ascii="Times New Roman" w:hAnsi="Times New Roman" w:cs="Times New Roman"/>
          <w:sz w:val="24"/>
          <w:szCs w:val="24"/>
        </w:rPr>
        <w:t xml:space="preserve">In conclusion, the Passport Journey should not be abandoned or delayed behind a separate pilot year. It is a strong enhancement concept that can improve youth engagement, provide more meaningful sponsor value, and reinforce the educational and community purpose of the Miami-Dade County Youth Fair. The evidence now supports proceeding with a full launch because the enhancement is operationally manageable, financially proportionate, easy for visitors </w:t>
      </w:r>
      <w:r w:rsidRPr="00F31A50">
        <w:rPr>
          <w:rFonts w:ascii="Times New Roman" w:hAnsi="Times New Roman" w:cs="Times New Roman"/>
          <w:sz w:val="24"/>
          <w:szCs w:val="24"/>
        </w:rPr>
        <w:lastRenderedPageBreak/>
        <w:t>to understand, and compatible with the fair’s current capabilities. Although some risks remain, they are appropriately addressed through station distribution, sponsor selection criteria, on-site monitoring, environmental controls, and real-time operational adjustment. For these reasons, the study recommends proceeding with full implementation.</w:t>
      </w:r>
      <w:r w:rsidRPr="00F31A50">
        <w:rPr>
          <w:rFonts w:ascii="Times New Roman" w:hAnsi="Times New Roman" w:cs="Times New Roman"/>
          <w:sz w:val="24"/>
          <w:szCs w:val="24"/>
        </w:rPr>
        <w:br w:type="page"/>
      </w:r>
    </w:p>
    <w:p w14:paraId="40599909" w14:textId="77777777" w:rsidR="00073E1D" w:rsidRPr="00F31A50" w:rsidRDefault="00073E1D" w:rsidP="00073E1D">
      <w:pPr>
        <w:spacing w:line="276" w:lineRule="auto"/>
        <w:jc w:val="center"/>
        <w:rPr>
          <w:rFonts w:ascii="Times New Roman" w:hAnsi="Times New Roman" w:cs="Times New Roman"/>
          <w:b/>
          <w:bCs/>
          <w:sz w:val="24"/>
          <w:szCs w:val="24"/>
        </w:rPr>
      </w:pPr>
      <w:r w:rsidRPr="00F31A50">
        <w:rPr>
          <w:rFonts w:ascii="Times New Roman" w:hAnsi="Times New Roman" w:cs="Times New Roman"/>
          <w:b/>
          <w:bCs/>
          <w:sz w:val="24"/>
          <w:szCs w:val="24"/>
        </w:rPr>
        <w:lastRenderedPageBreak/>
        <w:t>References</w:t>
      </w:r>
    </w:p>
    <w:p w14:paraId="4850B42D"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 xml:space="preserve">Cavallin Toscani, A., </w:t>
      </w:r>
      <w:proofErr w:type="spellStart"/>
      <w:r w:rsidRPr="00F31A50">
        <w:rPr>
          <w:rFonts w:ascii="Times New Roman" w:eastAsia="Times New Roman" w:hAnsi="Times New Roman" w:cs="Times New Roman"/>
          <w:color w:val="000000"/>
          <w:kern w:val="0"/>
          <w:sz w:val="24"/>
          <w:szCs w:val="24"/>
          <w14:ligatures w14:val="none"/>
        </w:rPr>
        <w:t>Vendraminelli</w:t>
      </w:r>
      <w:proofErr w:type="spellEnd"/>
      <w:r w:rsidRPr="00F31A50">
        <w:rPr>
          <w:rFonts w:ascii="Times New Roman" w:eastAsia="Times New Roman" w:hAnsi="Times New Roman" w:cs="Times New Roman"/>
          <w:color w:val="000000"/>
          <w:kern w:val="0"/>
          <w:sz w:val="24"/>
          <w:szCs w:val="24"/>
          <w14:ligatures w14:val="none"/>
        </w:rPr>
        <w:t>, L., &amp; Vinelli, A. (2024). Environmental sustainability in the event industry: A systematic review and a research agenda. </w:t>
      </w:r>
      <w:r w:rsidRPr="00F31A50">
        <w:rPr>
          <w:rFonts w:ascii="Times New Roman" w:eastAsia="Times New Roman" w:hAnsi="Times New Roman" w:cs="Times New Roman"/>
          <w:i/>
          <w:iCs/>
          <w:color w:val="000000"/>
          <w:kern w:val="0"/>
          <w:sz w:val="24"/>
          <w:szCs w:val="24"/>
          <w14:ligatures w14:val="none"/>
        </w:rPr>
        <w:t>Journal of Sustainable Tourism, 32</w:t>
      </w:r>
      <w:r w:rsidRPr="00F31A50">
        <w:rPr>
          <w:rFonts w:ascii="Times New Roman" w:eastAsia="Times New Roman" w:hAnsi="Times New Roman" w:cs="Times New Roman"/>
          <w:color w:val="000000"/>
          <w:kern w:val="0"/>
          <w:sz w:val="24"/>
          <w:szCs w:val="24"/>
          <w14:ligatures w14:val="none"/>
        </w:rPr>
        <w:t>(12), 2663–2697. </w:t>
      </w:r>
      <w:hyperlink r:id="rId18" w:tgtFrame="_new" w:history="1">
        <w:r w:rsidRPr="00F31A50">
          <w:rPr>
            <w:rFonts w:ascii="Times New Roman" w:eastAsia="Times New Roman" w:hAnsi="Times New Roman" w:cs="Times New Roman"/>
            <w:color w:val="0000FF"/>
            <w:kern w:val="0"/>
            <w:sz w:val="24"/>
            <w:szCs w:val="24"/>
            <w:u w:val="single"/>
            <w14:ligatures w14:val="none"/>
          </w:rPr>
          <w:t>https://doi.org/10.1080/09669582.2024.2309544</w:t>
        </w:r>
      </w:hyperlink>
    </w:p>
    <w:p w14:paraId="5B1D0E3E"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Close, A. G., Finney, R. Z., Lacey, R. Z., &amp; Sneath, J. Z. (2006). Engaging the consumer through event marketing: Linking attendees with the sponsor, community, and brand. </w:t>
      </w:r>
      <w:r w:rsidRPr="00F31A50">
        <w:rPr>
          <w:rFonts w:ascii="Times New Roman" w:eastAsia="Times New Roman" w:hAnsi="Times New Roman" w:cs="Times New Roman"/>
          <w:i/>
          <w:iCs/>
          <w:color w:val="000000"/>
          <w:kern w:val="0"/>
          <w:sz w:val="24"/>
          <w:szCs w:val="24"/>
          <w14:ligatures w14:val="none"/>
        </w:rPr>
        <w:t>Journal of Advertising Research, 46</w:t>
      </w:r>
      <w:r w:rsidRPr="00F31A50">
        <w:rPr>
          <w:rFonts w:ascii="Times New Roman" w:eastAsia="Times New Roman" w:hAnsi="Times New Roman" w:cs="Times New Roman"/>
          <w:color w:val="000000"/>
          <w:kern w:val="0"/>
          <w:sz w:val="24"/>
          <w:szCs w:val="24"/>
          <w14:ligatures w14:val="none"/>
        </w:rPr>
        <w:t>(4), 420–433. </w:t>
      </w:r>
      <w:hyperlink r:id="rId19" w:tgtFrame="_new" w:history="1">
        <w:r w:rsidRPr="00F31A50">
          <w:rPr>
            <w:rFonts w:ascii="Times New Roman" w:eastAsia="Times New Roman" w:hAnsi="Times New Roman" w:cs="Times New Roman"/>
            <w:color w:val="0000FF"/>
            <w:kern w:val="0"/>
            <w:sz w:val="24"/>
            <w:szCs w:val="24"/>
            <w:u w:val="single"/>
            <w14:ligatures w14:val="none"/>
          </w:rPr>
          <w:t>https://doi.org/10.2501/S0021849906060430</w:t>
        </w:r>
      </w:hyperlink>
    </w:p>
    <w:p w14:paraId="04B84FF2"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Events Industry Council. (n.d.). </w:t>
      </w:r>
      <w:r w:rsidRPr="00F31A50">
        <w:rPr>
          <w:rFonts w:ascii="Times New Roman" w:eastAsia="Times New Roman" w:hAnsi="Times New Roman" w:cs="Times New Roman"/>
          <w:i/>
          <w:iCs/>
          <w:color w:val="000000"/>
          <w:kern w:val="0"/>
          <w:sz w:val="24"/>
          <w:szCs w:val="24"/>
          <w14:ligatures w14:val="none"/>
        </w:rPr>
        <w:t>EIC Sustainable Event Standards</w:t>
      </w:r>
      <w:r w:rsidRPr="00F31A50">
        <w:rPr>
          <w:rFonts w:ascii="Times New Roman" w:eastAsia="Times New Roman" w:hAnsi="Times New Roman" w:cs="Times New Roman"/>
          <w:color w:val="000000"/>
          <w:kern w:val="0"/>
          <w:sz w:val="24"/>
          <w:szCs w:val="24"/>
          <w14:ligatures w14:val="none"/>
        </w:rPr>
        <w:t>. </w:t>
      </w:r>
      <w:hyperlink r:id="rId20" w:tgtFrame="_new" w:history="1">
        <w:r w:rsidRPr="00F31A50">
          <w:rPr>
            <w:rFonts w:ascii="Times New Roman" w:eastAsia="Times New Roman" w:hAnsi="Times New Roman" w:cs="Times New Roman"/>
            <w:color w:val="0000FF"/>
            <w:kern w:val="0"/>
            <w:sz w:val="24"/>
            <w:szCs w:val="24"/>
            <w:u w:val="single"/>
            <w14:ligatures w14:val="none"/>
          </w:rPr>
          <w:t>https://insights.eventscouncil.org/Sustainability/Sustainability-Events-Standards</w:t>
        </w:r>
      </w:hyperlink>
    </w:p>
    <w:p w14:paraId="2DDFAE36"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Federal Trade Commission. (n.d.). </w:t>
      </w:r>
      <w:r w:rsidRPr="00F31A50">
        <w:rPr>
          <w:rFonts w:ascii="Times New Roman" w:eastAsia="Times New Roman" w:hAnsi="Times New Roman" w:cs="Times New Roman"/>
          <w:i/>
          <w:iCs/>
          <w:color w:val="000000"/>
          <w:kern w:val="0"/>
          <w:sz w:val="24"/>
          <w:szCs w:val="24"/>
          <w14:ligatures w14:val="none"/>
        </w:rPr>
        <w:t>Complying with COPPA: Frequently asked questions</w:t>
      </w:r>
      <w:r w:rsidRPr="00F31A50">
        <w:rPr>
          <w:rFonts w:ascii="Times New Roman" w:eastAsia="Times New Roman" w:hAnsi="Times New Roman" w:cs="Times New Roman"/>
          <w:color w:val="000000"/>
          <w:kern w:val="0"/>
          <w:sz w:val="24"/>
          <w:szCs w:val="24"/>
          <w14:ligatures w14:val="none"/>
        </w:rPr>
        <w:t>. </w:t>
      </w:r>
      <w:hyperlink r:id="rId21" w:tgtFrame="_new" w:history="1">
        <w:r w:rsidRPr="00F31A50">
          <w:rPr>
            <w:rFonts w:ascii="Times New Roman" w:eastAsia="Times New Roman" w:hAnsi="Times New Roman" w:cs="Times New Roman"/>
            <w:color w:val="0000FF"/>
            <w:kern w:val="0"/>
            <w:sz w:val="24"/>
            <w:szCs w:val="24"/>
            <w:u w:val="single"/>
            <w14:ligatures w14:val="none"/>
          </w:rPr>
          <w:t>https://www.ftc.gov/business-guidance/resources/complying-coppa-frequently-asked-questions</w:t>
        </w:r>
      </w:hyperlink>
    </w:p>
    <w:p w14:paraId="792B2967"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GHG Protocol. (n.d.). </w:t>
      </w:r>
      <w:r w:rsidRPr="00F31A50">
        <w:rPr>
          <w:rFonts w:ascii="Times New Roman" w:eastAsia="Times New Roman" w:hAnsi="Times New Roman" w:cs="Times New Roman"/>
          <w:i/>
          <w:iCs/>
          <w:color w:val="000000"/>
          <w:kern w:val="0"/>
          <w:sz w:val="24"/>
          <w:szCs w:val="24"/>
          <w14:ligatures w14:val="none"/>
        </w:rPr>
        <w:t>Calculation tools and guidance</w:t>
      </w:r>
      <w:r w:rsidRPr="00F31A50">
        <w:rPr>
          <w:rFonts w:ascii="Times New Roman" w:eastAsia="Times New Roman" w:hAnsi="Times New Roman" w:cs="Times New Roman"/>
          <w:color w:val="000000"/>
          <w:kern w:val="0"/>
          <w:sz w:val="24"/>
          <w:szCs w:val="24"/>
          <w14:ligatures w14:val="none"/>
        </w:rPr>
        <w:t>. </w:t>
      </w:r>
      <w:hyperlink r:id="rId22" w:tgtFrame="_new" w:history="1">
        <w:r w:rsidRPr="00F31A50">
          <w:rPr>
            <w:rFonts w:ascii="Times New Roman" w:eastAsia="Times New Roman" w:hAnsi="Times New Roman" w:cs="Times New Roman"/>
            <w:color w:val="0000FF"/>
            <w:kern w:val="0"/>
            <w:sz w:val="24"/>
            <w:szCs w:val="24"/>
            <w:u w:val="single"/>
            <w14:ligatures w14:val="none"/>
          </w:rPr>
          <w:t>https://ghgprotocol.org/calculation-tools-and-guidance</w:t>
        </w:r>
      </w:hyperlink>
    </w:p>
    <w:p w14:paraId="07E041D1"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Hsiao, C.-H., Tang, K.-Y., &amp; Su, Y.-S. (2021). An empirical exploration of sports sponsorship: Activation of experiential marketing, sponsorship satisfaction, brand equity, and purchase intention. </w:t>
      </w:r>
      <w:r w:rsidRPr="00F31A50">
        <w:rPr>
          <w:rFonts w:ascii="Times New Roman" w:eastAsia="Times New Roman" w:hAnsi="Times New Roman" w:cs="Times New Roman"/>
          <w:i/>
          <w:iCs/>
          <w:color w:val="000000"/>
          <w:kern w:val="0"/>
          <w:sz w:val="24"/>
          <w:szCs w:val="24"/>
          <w14:ligatures w14:val="none"/>
        </w:rPr>
        <w:t>Frontiers in Psychology, 12</w:t>
      </w:r>
      <w:r w:rsidRPr="00F31A50">
        <w:rPr>
          <w:rFonts w:ascii="Times New Roman" w:eastAsia="Times New Roman" w:hAnsi="Times New Roman" w:cs="Times New Roman"/>
          <w:color w:val="000000"/>
          <w:kern w:val="0"/>
          <w:sz w:val="24"/>
          <w:szCs w:val="24"/>
          <w14:ligatures w14:val="none"/>
        </w:rPr>
        <w:t>, 677137. </w:t>
      </w:r>
      <w:hyperlink r:id="rId23" w:tgtFrame="_new" w:history="1">
        <w:r w:rsidRPr="00F31A50">
          <w:rPr>
            <w:rFonts w:ascii="Times New Roman" w:eastAsia="Times New Roman" w:hAnsi="Times New Roman" w:cs="Times New Roman"/>
            <w:color w:val="0000FF"/>
            <w:kern w:val="0"/>
            <w:sz w:val="24"/>
            <w:szCs w:val="24"/>
            <w:u w:val="single"/>
            <w14:ligatures w14:val="none"/>
          </w:rPr>
          <w:t>https://doi.org/10.3389/fpsyg.2021.677137</w:t>
        </w:r>
      </w:hyperlink>
    </w:p>
    <w:p w14:paraId="4149A9E5"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lastRenderedPageBreak/>
        <w:t>International Organization for Standardization. (2024). </w:t>
      </w:r>
      <w:r w:rsidRPr="00F31A50">
        <w:rPr>
          <w:rFonts w:ascii="Times New Roman" w:eastAsia="Times New Roman" w:hAnsi="Times New Roman" w:cs="Times New Roman"/>
          <w:i/>
          <w:iCs/>
          <w:color w:val="000000"/>
          <w:kern w:val="0"/>
          <w:sz w:val="24"/>
          <w:szCs w:val="24"/>
          <w14:ligatures w14:val="none"/>
        </w:rPr>
        <w:t>ISO 20121:2024: Event sustainability management systems—Requirements with guidance for use</w:t>
      </w:r>
      <w:r w:rsidRPr="00F31A50">
        <w:rPr>
          <w:rFonts w:ascii="Times New Roman" w:eastAsia="Times New Roman" w:hAnsi="Times New Roman" w:cs="Times New Roman"/>
          <w:color w:val="000000"/>
          <w:kern w:val="0"/>
          <w:sz w:val="24"/>
          <w:szCs w:val="24"/>
          <w14:ligatures w14:val="none"/>
        </w:rPr>
        <w:t>. </w:t>
      </w:r>
      <w:hyperlink r:id="rId24" w:tgtFrame="_new" w:history="1">
        <w:r w:rsidRPr="00F31A50">
          <w:rPr>
            <w:rFonts w:ascii="Times New Roman" w:eastAsia="Times New Roman" w:hAnsi="Times New Roman" w:cs="Times New Roman"/>
            <w:color w:val="0000FF"/>
            <w:kern w:val="0"/>
            <w:sz w:val="24"/>
            <w:szCs w:val="24"/>
            <w:u w:val="single"/>
            <w14:ligatures w14:val="none"/>
          </w:rPr>
          <w:t>https://www.iso.org/standard/86389.html</w:t>
        </w:r>
      </w:hyperlink>
    </w:p>
    <w:p w14:paraId="42078E28"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Miami-Dade County Fair &amp; Exposition, Inc. (n.d.). </w:t>
      </w:r>
      <w:r w:rsidRPr="00F31A50">
        <w:rPr>
          <w:rFonts w:ascii="Times New Roman" w:eastAsia="Times New Roman" w:hAnsi="Times New Roman" w:cs="Times New Roman"/>
          <w:i/>
          <w:iCs/>
          <w:color w:val="000000"/>
          <w:kern w:val="0"/>
          <w:sz w:val="24"/>
          <w:szCs w:val="24"/>
          <w14:ligatures w14:val="none"/>
        </w:rPr>
        <w:t>Get to know us</w:t>
      </w:r>
      <w:r w:rsidRPr="00F31A50">
        <w:rPr>
          <w:rFonts w:ascii="Times New Roman" w:eastAsia="Times New Roman" w:hAnsi="Times New Roman" w:cs="Times New Roman"/>
          <w:color w:val="000000"/>
          <w:kern w:val="0"/>
          <w:sz w:val="24"/>
          <w:szCs w:val="24"/>
          <w14:ligatures w14:val="none"/>
        </w:rPr>
        <w:t>. </w:t>
      </w:r>
      <w:hyperlink r:id="rId25" w:tgtFrame="_new" w:history="1">
        <w:r w:rsidRPr="00F31A50">
          <w:rPr>
            <w:rFonts w:ascii="Times New Roman" w:eastAsia="Times New Roman" w:hAnsi="Times New Roman" w:cs="Times New Roman"/>
            <w:color w:val="0000FF"/>
            <w:kern w:val="0"/>
            <w:sz w:val="24"/>
            <w:szCs w:val="24"/>
            <w:u w:val="single"/>
            <w14:ligatures w14:val="none"/>
          </w:rPr>
          <w:t>https://www.fairexpo.com/about</w:t>
        </w:r>
      </w:hyperlink>
    </w:p>
    <w:p w14:paraId="36E577D0" w14:textId="77777777" w:rsidR="00073E1D" w:rsidRPr="00F31A50" w:rsidRDefault="00073E1D" w:rsidP="00073E1D">
      <w:pPr>
        <w:spacing w:before="100" w:beforeAutospacing="1" w:after="100" w:afterAutospacing="1" w:line="480" w:lineRule="auto"/>
        <w:ind w:left="720" w:hanging="720"/>
        <w:rPr>
          <w:rFonts w:ascii="Times New Roman" w:eastAsia="Times New Roman" w:hAnsi="Times New Roman" w:cs="Times New Roman"/>
          <w:color w:val="000000"/>
          <w:kern w:val="0"/>
          <w:sz w:val="24"/>
          <w:szCs w:val="24"/>
          <w14:ligatures w14:val="none"/>
        </w:rPr>
      </w:pPr>
      <w:r w:rsidRPr="00F31A50">
        <w:rPr>
          <w:rFonts w:ascii="Times New Roman" w:eastAsia="Times New Roman" w:hAnsi="Times New Roman" w:cs="Times New Roman"/>
          <w:color w:val="000000"/>
          <w:kern w:val="0"/>
          <w:sz w:val="24"/>
          <w:szCs w:val="24"/>
          <w14:ligatures w14:val="none"/>
        </w:rPr>
        <w:t>Xu, W., Xing, Q.-W., Yu, Y., &amp; Zhao, L.-Y. (2024). Exploring the influence of gamified learning on museum visitors’ knowledge and career awareness with a mixed research approach. </w:t>
      </w:r>
      <w:r w:rsidRPr="00F31A50">
        <w:rPr>
          <w:rFonts w:ascii="Times New Roman" w:eastAsia="Times New Roman" w:hAnsi="Times New Roman" w:cs="Times New Roman"/>
          <w:i/>
          <w:iCs/>
          <w:color w:val="000000"/>
          <w:kern w:val="0"/>
          <w:sz w:val="24"/>
          <w:szCs w:val="24"/>
          <w14:ligatures w14:val="none"/>
        </w:rPr>
        <w:t>Humanities and Social Sciences Communications, 11</w:t>
      </w:r>
      <w:r w:rsidRPr="00F31A50">
        <w:rPr>
          <w:rFonts w:ascii="Times New Roman" w:eastAsia="Times New Roman" w:hAnsi="Times New Roman" w:cs="Times New Roman"/>
          <w:color w:val="000000"/>
          <w:kern w:val="0"/>
          <w:sz w:val="24"/>
          <w:szCs w:val="24"/>
          <w14:ligatures w14:val="none"/>
        </w:rPr>
        <w:t>, Article 1055. </w:t>
      </w:r>
      <w:hyperlink r:id="rId26" w:tgtFrame="_new" w:history="1">
        <w:r w:rsidRPr="00F31A50">
          <w:rPr>
            <w:rFonts w:ascii="Times New Roman" w:eastAsia="Times New Roman" w:hAnsi="Times New Roman" w:cs="Times New Roman"/>
            <w:color w:val="0000FF"/>
            <w:kern w:val="0"/>
            <w:sz w:val="24"/>
            <w:szCs w:val="24"/>
            <w:u w:val="single"/>
            <w14:ligatures w14:val="none"/>
          </w:rPr>
          <w:t>https://doi.org/10.1057/s41599-024-03583-4</w:t>
        </w:r>
      </w:hyperlink>
    </w:p>
    <w:p w14:paraId="399C8253" w14:textId="77777777" w:rsidR="00073E1D" w:rsidRPr="00A9016B" w:rsidRDefault="00073E1D" w:rsidP="007E160F">
      <w:pPr>
        <w:spacing w:before="100" w:beforeAutospacing="1" w:after="100" w:afterAutospacing="1" w:line="480" w:lineRule="auto"/>
        <w:rPr>
          <w:rFonts w:ascii="Times New Roman" w:eastAsia="Times New Roman" w:hAnsi="Times New Roman" w:cs="Times New Roman"/>
          <w:color w:val="000000"/>
          <w:kern w:val="0"/>
          <w14:ligatures w14:val="none"/>
        </w:rPr>
      </w:pPr>
    </w:p>
    <w:p w14:paraId="45464B11" w14:textId="77777777" w:rsidR="007E160F" w:rsidRPr="007E160F" w:rsidRDefault="007E160F" w:rsidP="007E160F">
      <w:pPr>
        <w:spacing w:line="276" w:lineRule="auto"/>
        <w:rPr>
          <w:rFonts w:ascii="Times New Roman" w:hAnsi="Times New Roman" w:cs="Times New Roman"/>
          <w:b/>
          <w:bCs/>
        </w:rPr>
      </w:pPr>
      <w:r w:rsidRPr="007E160F">
        <w:rPr>
          <w:rFonts w:ascii="Times New Roman" w:hAnsi="Times New Roman" w:cs="Times New Roman"/>
          <w:b/>
          <w:bCs/>
        </w:rPr>
        <w:t>References</w:t>
      </w:r>
    </w:p>
    <w:p w14:paraId="34BAAA43"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 xml:space="preserve">Cavallin Toscani, A., </w:t>
      </w:r>
      <w:proofErr w:type="spellStart"/>
      <w:r w:rsidRPr="00A9016B">
        <w:rPr>
          <w:rFonts w:ascii="Times New Roman" w:eastAsia="Times New Roman" w:hAnsi="Times New Roman" w:cs="Times New Roman"/>
          <w:color w:val="000000"/>
          <w:kern w:val="0"/>
          <w14:ligatures w14:val="none"/>
        </w:rPr>
        <w:t>Vendraminelli</w:t>
      </w:r>
      <w:proofErr w:type="spellEnd"/>
      <w:r w:rsidRPr="00A9016B">
        <w:rPr>
          <w:rFonts w:ascii="Times New Roman" w:eastAsia="Times New Roman" w:hAnsi="Times New Roman" w:cs="Times New Roman"/>
          <w:color w:val="000000"/>
          <w:kern w:val="0"/>
          <w14:ligatures w14:val="none"/>
        </w:rPr>
        <w:t>, L., &amp; Vinelli, A. (2024). Environmental sustainability in the event industry: A systematic review and a research agenda. </w:t>
      </w:r>
      <w:r w:rsidRPr="00A9016B">
        <w:rPr>
          <w:rFonts w:ascii="Times New Roman" w:eastAsia="Times New Roman" w:hAnsi="Times New Roman" w:cs="Times New Roman"/>
          <w:i/>
          <w:iCs/>
          <w:color w:val="000000"/>
          <w:kern w:val="0"/>
          <w14:ligatures w14:val="none"/>
        </w:rPr>
        <w:t>Journal of Sustainable Tourism, 32</w:t>
      </w:r>
      <w:r w:rsidRPr="00A9016B">
        <w:rPr>
          <w:rFonts w:ascii="Times New Roman" w:eastAsia="Times New Roman" w:hAnsi="Times New Roman" w:cs="Times New Roman"/>
          <w:color w:val="000000"/>
          <w:kern w:val="0"/>
          <w14:ligatures w14:val="none"/>
        </w:rPr>
        <w:t>(12), 2663–2697. </w:t>
      </w:r>
      <w:hyperlink r:id="rId27" w:tgtFrame="_new" w:history="1">
        <w:r w:rsidRPr="00A9016B">
          <w:rPr>
            <w:rFonts w:ascii="Times New Roman" w:eastAsia="Times New Roman" w:hAnsi="Times New Roman" w:cs="Times New Roman"/>
            <w:color w:val="0000FF"/>
            <w:kern w:val="0"/>
            <w:u w:val="single"/>
            <w14:ligatures w14:val="none"/>
          </w:rPr>
          <w:t>https://doi.org/10.1080/09669582.2024.2309544</w:t>
        </w:r>
      </w:hyperlink>
    </w:p>
    <w:p w14:paraId="78229312"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Close, A. G., Finney, R. Z., Lacey, R. Z., &amp; Sneath, J. Z. (2006). Engaging the consumer through event marketing: Linking attendees with the sponsor, community, and brand. </w:t>
      </w:r>
      <w:r w:rsidRPr="00A9016B">
        <w:rPr>
          <w:rFonts w:ascii="Times New Roman" w:eastAsia="Times New Roman" w:hAnsi="Times New Roman" w:cs="Times New Roman"/>
          <w:i/>
          <w:iCs/>
          <w:color w:val="000000"/>
          <w:kern w:val="0"/>
          <w14:ligatures w14:val="none"/>
        </w:rPr>
        <w:t>Journal of Advertising Research, 46</w:t>
      </w:r>
      <w:r w:rsidRPr="00A9016B">
        <w:rPr>
          <w:rFonts w:ascii="Times New Roman" w:eastAsia="Times New Roman" w:hAnsi="Times New Roman" w:cs="Times New Roman"/>
          <w:color w:val="000000"/>
          <w:kern w:val="0"/>
          <w14:ligatures w14:val="none"/>
        </w:rPr>
        <w:t>(4), 420–433. </w:t>
      </w:r>
      <w:hyperlink r:id="rId28" w:tgtFrame="_new" w:history="1">
        <w:r w:rsidRPr="00A9016B">
          <w:rPr>
            <w:rFonts w:ascii="Times New Roman" w:eastAsia="Times New Roman" w:hAnsi="Times New Roman" w:cs="Times New Roman"/>
            <w:color w:val="0000FF"/>
            <w:kern w:val="0"/>
            <w:u w:val="single"/>
            <w14:ligatures w14:val="none"/>
          </w:rPr>
          <w:t>https://doi.org/10.2501/S0021849906060430</w:t>
        </w:r>
      </w:hyperlink>
    </w:p>
    <w:p w14:paraId="6171055C"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Events Industry Council. (n.d.). </w:t>
      </w:r>
      <w:r w:rsidRPr="00A9016B">
        <w:rPr>
          <w:rFonts w:ascii="Times New Roman" w:eastAsia="Times New Roman" w:hAnsi="Times New Roman" w:cs="Times New Roman"/>
          <w:i/>
          <w:iCs/>
          <w:color w:val="000000"/>
          <w:kern w:val="0"/>
          <w14:ligatures w14:val="none"/>
        </w:rPr>
        <w:t>EIC Sustainable Event Standards</w:t>
      </w:r>
      <w:r w:rsidRPr="00A9016B">
        <w:rPr>
          <w:rFonts w:ascii="Times New Roman" w:eastAsia="Times New Roman" w:hAnsi="Times New Roman" w:cs="Times New Roman"/>
          <w:color w:val="000000"/>
          <w:kern w:val="0"/>
          <w14:ligatures w14:val="none"/>
        </w:rPr>
        <w:t>. </w:t>
      </w:r>
      <w:hyperlink r:id="rId29" w:tgtFrame="_new" w:history="1">
        <w:r w:rsidRPr="00A9016B">
          <w:rPr>
            <w:rFonts w:ascii="Times New Roman" w:eastAsia="Times New Roman" w:hAnsi="Times New Roman" w:cs="Times New Roman"/>
            <w:color w:val="0000FF"/>
            <w:kern w:val="0"/>
            <w:u w:val="single"/>
            <w14:ligatures w14:val="none"/>
          </w:rPr>
          <w:t>https://insights.eventscouncil.org/Sustainability/Sustainability-Events-Standards</w:t>
        </w:r>
      </w:hyperlink>
    </w:p>
    <w:p w14:paraId="47E782F2"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Federal Trade Commission. (n.d.). </w:t>
      </w:r>
      <w:r w:rsidRPr="00A9016B">
        <w:rPr>
          <w:rFonts w:ascii="Times New Roman" w:eastAsia="Times New Roman" w:hAnsi="Times New Roman" w:cs="Times New Roman"/>
          <w:i/>
          <w:iCs/>
          <w:color w:val="000000"/>
          <w:kern w:val="0"/>
          <w14:ligatures w14:val="none"/>
        </w:rPr>
        <w:t>Complying with COPPA: Frequently asked questions</w:t>
      </w:r>
      <w:r w:rsidRPr="00A9016B">
        <w:rPr>
          <w:rFonts w:ascii="Times New Roman" w:eastAsia="Times New Roman" w:hAnsi="Times New Roman" w:cs="Times New Roman"/>
          <w:color w:val="000000"/>
          <w:kern w:val="0"/>
          <w14:ligatures w14:val="none"/>
        </w:rPr>
        <w:t>. </w:t>
      </w:r>
      <w:hyperlink r:id="rId30" w:tgtFrame="_new" w:history="1">
        <w:r w:rsidRPr="00A9016B">
          <w:rPr>
            <w:rFonts w:ascii="Times New Roman" w:eastAsia="Times New Roman" w:hAnsi="Times New Roman" w:cs="Times New Roman"/>
            <w:color w:val="0000FF"/>
            <w:kern w:val="0"/>
            <w:u w:val="single"/>
            <w14:ligatures w14:val="none"/>
          </w:rPr>
          <w:t>https://www.ftc.gov/business-guidance/resources/complying-coppa-frequently-asked-questions</w:t>
        </w:r>
      </w:hyperlink>
    </w:p>
    <w:p w14:paraId="179766AB"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lastRenderedPageBreak/>
        <w:t>GHG Protocol. (n.d.). </w:t>
      </w:r>
      <w:r w:rsidRPr="00A9016B">
        <w:rPr>
          <w:rFonts w:ascii="Times New Roman" w:eastAsia="Times New Roman" w:hAnsi="Times New Roman" w:cs="Times New Roman"/>
          <w:i/>
          <w:iCs/>
          <w:color w:val="000000"/>
          <w:kern w:val="0"/>
          <w14:ligatures w14:val="none"/>
        </w:rPr>
        <w:t>Calculation tools and guidance</w:t>
      </w:r>
      <w:r w:rsidRPr="00A9016B">
        <w:rPr>
          <w:rFonts w:ascii="Times New Roman" w:eastAsia="Times New Roman" w:hAnsi="Times New Roman" w:cs="Times New Roman"/>
          <w:color w:val="000000"/>
          <w:kern w:val="0"/>
          <w14:ligatures w14:val="none"/>
        </w:rPr>
        <w:t>. </w:t>
      </w:r>
      <w:hyperlink r:id="rId31" w:tgtFrame="_new" w:history="1">
        <w:r w:rsidRPr="00A9016B">
          <w:rPr>
            <w:rFonts w:ascii="Times New Roman" w:eastAsia="Times New Roman" w:hAnsi="Times New Roman" w:cs="Times New Roman"/>
            <w:color w:val="0000FF"/>
            <w:kern w:val="0"/>
            <w:u w:val="single"/>
            <w14:ligatures w14:val="none"/>
          </w:rPr>
          <w:t>https://ghgprotocol.org/calculation-tools-and-guidance</w:t>
        </w:r>
      </w:hyperlink>
    </w:p>
    <w:p w14:paraId="264A5F0D"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Hsiao, C.-H., Tang, K.-Y., &amp; Su, Y.-S. (2021). An empirical exploration of sports sponsorship: Activation of experiential marketing, sponsorship satisfaction, brand equity, and purchase intention. </w:t>
      </w:r>
      <w:r w:rsidRPr="00A9016B">
        <w:rPr>
          <w:rFonts w:ascii="Times New Roman" w:eastAsia="Times New Roman" w:hAnsi="Times New Roman" w:cs="Times New Roman"/>
          <w:i/>
          <w:iCs/>
          <w:color w:val="000000"/>
          <w:kern w:val="0"/>
          <w14:ligatures w14:val="none"/>
        </w:rPr>
        <w:t>Frontiers in Psychology, 12</w:t>
      </w:r>
      <w:r w:rsidRPr="00A9016B">
        <w:rPr>
          <w:rFonts w:ascii="Times New Roman" w:eastAsia="Times New Roman" w:hAnsi="Times New Roman" w:cs="Times New Roman"/>
          <w:color w:val="000000"/>
          <w:kern w:val="0"/>
          <w14:ligatures w14:val="none"/>
        </w:rPr>
        <w:t>, 677137. </w:t>
      </w:r>
      <w:hyperlink r:id="rId32" w:tgtFrame="_new" w:history="1">
        <w:r w:rsidRPr="00A9016B">
          <w:rPr>
            <w:rFonts w:ascii="Times New Roman" w:eastAsia="Times New Roman" w:hAnsi="Times New Roman" w:cs="Times New Roman"/>
            <w:color w:val="0000FF"/>
            <w:kern w:val="0"/>
            <w:u w:val="single"/>
            <w14:ligatures w14:val="none"/>
          </w:rPr>
          <w:t>https://doi.org/10.3389/fpsyg.2021.677137</w:t>
        </w:r>
      </w:hyperlink>
    </w:p>
    <w:p w14:paraId="0E2D40A8"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International Organization for Standardization. (2024). </w:t>
      </w:r>
      <w:r w:rsidRPr="00A9016B">
        <w:rPr>
          <w:rFonts w:ascii="Times New Roman" w:eastAsia="Times New Roman" w:hAnsi="Times New Roman" w:cs="Times New Roman"/>
          <w:i/>
          <w:iCs/>
          <w:color w:val="000000"/>
          <w:kern w:val="0"/>
          <w14:ligatures w14:val="none"/>
        </w:rPr>
        <w:t>ISO 20121:2024: Event sustainability management systems—Requirements with guidance for use</w:t>
      </w:r>
      <w:r w:rsidRPr="00A9016B">
        <w:rPr>
          <w:rFonts w:ascii="Times New Roman" w:eastAsia="Times New Roman" w:hAnsi="Times New Roman" w:cs="Times New Roman"/>
          <w:color w:val="000000"/>
          <w:kern w:val="0"/>
          <w14:ligatures w14:val="none"/>
        </w:rPr>
        <w:t>. </w:t>
      </w:r>
      <w:hyperlink r:id="rId33" w:tgtFrame="_new" w:history="1">
        <w:r w:rsidRPr="00A9016B">
          <w:rPr>
            <w:rFonts w:ascii="Times New Roman" w:eastAsia="Times New Roman" w:hAnsi="Times New Roman" w:cs="Times New Roman"/>
            <w:color w:val="0000FF"/>
            <w:kern w:val="0"/>
            <w:u w:val="single"/>
            <w14:ligatures w14:val="none"/>
          </w:rPr>
          <w:t>https://www.iso.org/standard/86389.html</w:t>
        </w:r>
      </w:hyperlink>
    </w:p>
    <w:p w14:paraId="791612B8"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t>Miami-Dade County Fair &amp; Exposition, Inc. (n.d.-a). Get to know us. Retrieved April 8, 2026, from https://www.fairexpo.com/about</w:t>
      </w:r>
    </w:p>
    <w:p w14:paraId="5ED904B1" w14:textId="77777777" w:rsidR="007E160F" w:rsidRPr="00A9016B" w:rsidRDefault="007E160F" w:rsidP="007E160F">
      <w:pPr>
        <w:spacing w:before="100" w:beforeAutospacing="1" w:after="100" w:afterAutospacing="1" w:line="480" w:lineRule="auto"/>
        <w:rPr>
          <w:rFonts w:ascii="Times New Roman" w:eastAsia="Times New Roman" w:hAnsi="Times New Roman" w:cs="Times New Roman"/>
          <w:color w:val="000000"/>
          <w:kern w:val="0"/>
          <w14:ligatures w14:val="none"/>
        </w:rPr>
      </w:pPr>
      <w:r w:rsidRPr="00A9016B">
        <w:rPr>
          <w:rFonts w:ascii="Times New Roman" w:eastAsia="Times New Roman" w:hAnsi="Times New Roman" w:cs="Times New Roman"/>
          <w:color w:val="000000"/>
          <w:kern w:val="0"/>
          <w14:ligatures w14:val="none"/>
        </w:rPr>
        <w:t>Xu, W., Xing, Q.-W., Yu, Y., &amp; Zhao, L.-Y. (2024). Exploring the influence of gamified learning on museum visitors’ knowledge and career awareness with a mixed research approach. </w:t>
      </w:r>
      <w:r w:rsidRPr="00A9016B">
        <w:rPr>
          <w:rFonts w:ascii="Times New Roman" w:eastAsia="Times New Roman" w:hAnsi="Times New Roman" w:cs="Times New Roman"/>
          <w:i/>
          <w:iCs/>
          <w:color w:val="000000"/>
          <w:kern w:val="0"/>
          <w14:ligatures w14:val="none"/>
        </w:rPr>
        <w:t>Humanities and Social Sciences Communications, 11</w:t>
      </w:r>
      <w:r w:rsidRPr="00A9016B">
        <w:rPr>
          <w:rFonts w:ascii="Times New Roman" w:eastAsia="Times New Roman" w:hAnsi="Times New Roman" w:cs="Times New Roman"/>
          <w:color w:val="000000"/>
          <w:kern w:val="0"/>
          <w14:ligatures w14:val="none"/>
        </w:rPr>
        <w:t>, Article 1055. </w:t>
      </w:r>
      <w:hyperlink r:id="rId34" w:tgtFrame="_new" w:history="1">
        <w:r w:rsidRPr="00A9016B">
          <w:rPr>
            <w:rFonts w:ascii="Times New Roman" w:eastAsia="Times New Roman" w:hAnsi="Times New Roman" w:cs="Times New Roman"/>
            <w:color w:val="0000FF"/>
            <w:kern w:val="0"/>
            <w:u w:val="single"/>
            <w14:ligatures w14:val="none"/>
          </w:rPr>
          <w:t>https://doi.org/10.1057/s41599-024-03583-4</w:t>
        </w:r>
      </w:hyperlink>
    </w:p>
    <w:p w14:paraId="4695F110" w14:textId="77777777" w:rsidR="007E160F" w:rsidRDefault="007E160F" w:rsidP="007E160F"/>
    <w:p w14:paraId="014DC8D6" w14:textId="77777777" w:rsidR="005627BC" w:rsidRPr="0010592D" w:rsidRDefault="005627BC" w:rsidP="00D66107">
      <w:pPr>
        <w:spacing w:line="240" w:lineRule="auto"/>
        <w:ind w:left="720" w:hanging="720"/>
      </w:pPr>
    </w:p>
    <w:sectPr w:rsidR="005627BC" w:rsidRPr="0010592D">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CAAF" w14:textId="77777777" w:rsidR="0074308C" w:rsidRDefault="0074308C" w:rsidP="004B5B69">
      <w:pPr>
        <w:spacing w:after="0" w:line="240" w:lineRule="auto"/>
      </w:pPr>
      <w:r>
        <w:separator/>
      </w:r>
    </w:p>
  </w:endnote>
  <w:endnote w:type="continuationSeparator" w:id="0">
    <w:p w14:paraId="72A1003E" w14:textId="77777777" w:rsidR="0074308C" w:rsidRDefault="0074308C" w:rsidP="004B5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81C4" w14:textId="77777777" w:rsidR="0074308C" w:rsidRDefault="0074308C" w:rsidP="004B5B69">
      <w:pPr>
        <w:spacing w:after="0" w:line="240" w:lineRule="auto"/>
      </w:pPr>
      <w:r>
        <w:separator/>
      </w:r>
    </w:p>
  </w:footnote>
  <w:footnote w:type="continuationSeparator" w:id="0">
    <w:p w14:paraId="6C9EAEA0" w14:textId="77777777" w:rsidR="0074308C" w:rsidRDefault="0074308C" w:rsidP="004B5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94CB" w14:textId="77777777" w:rsidR="00C13E26" w:rsidRDefault="00C13E26">
    <w:pPr>
      <w:pStyle w:val="Header"/>
    </w:pPr>
    <w:proofErr w:type="spellStart"/>
    <w:r>
      <w:t>Abdulgader</w:t>
    </w:r>
    <w:proofErr w:type="spellEnd"/>
    <w:r>
      <w:t xml:space="preserve"> Turkistani &amp; Salem Alhabshi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CBF"/>
    <w:multiLevelType w:val="multilevel"/>
    <w:tmpl w:val="3FC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0F3"/>
    <w:multiLevelType w:val="multilevel"/>
    <w:tmpl w:val="BCF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58D8"/>
    <w:multiLevelType w:val="multilevel"/>
    <w:tmpl w:val="50EE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904AC"/>
    <w:multiLevelType w:val="multilevel"/>
    <w:tmpl w:val="BA4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322E7"/>
    <w:multiLevelType w:val="multilevel"/>
    <w:tmpl w:val="767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B5A22"/>
    <w:multiLevelType w:val="multilevel"/>
    <w:tmpl w:val="2F7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31D30"/>
    <w:multiLevelType w:val="multilevel"/>
    <w:tmpl w:val="D45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F31F0"/>
    <w:multiLevelType w:val="multilevel"/>
    <w:tmpl w:val="1B5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A5750"/>
    <w:multiLevelType w:val="multilevel"/>
    <w:tmpl w:val="AB4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D6037"/>
    <w:multiLevelType w:val="multilevel"/>
    <w:tmpl w:val="CB3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3F0"/>
    <w:multiLevelType w:val="multilevel"/>
    <w:tmpl w:val="3A7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78DE"/>
    <w:multiLevelType w:val="multilevel"/>
    <w:tmpl w:val="83D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93A31"/>
    <w:multiLevelType w:val="multilevel"/>
    <w:tmpl w:val="73E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7055F"/>
    <w:multiLevelType w:val="multilevel"/>
    <w:tmpl w:val="9F3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4493F"/>
    <w:multiLevelType w:val="multilevel"/>
    <w:tmpl w:val="7C6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40FAA"/>
    <w:multiLevelType w:val="multilevel"/>
    <w:tmpl w:val="369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072FA"/>
    <w:multiLevelType w:val="multilevel"/>
    <w:tmpl w:val="737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36636"/>
    <w:multiLevelType w:val="multilevel"/>
    <w:tmpl w:val="EBF4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F7FF4"/>
    <w:multiLevelType w:val="multilevel"/>
    <w:tmpl w:val="F15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065D8"/>
    <w:multiLevelType w:val="multilevel"/>
    <w:tmpl w:val="BF3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24D28"/>
    <w:multiLevelType w:val="multilevel"/>
    <w:tmpl w:val="8E28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038F3"/>
    <w:multiLevelType w:val="multilevel"/>
    <w:tmpl w:val="2344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22981"/>
    <w:multiLevelType w:val="multilevel"/>
    <w:tmpl w:val="D57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F7313"/>
    <w:multiLevelType w:val="multilevel"/>
    <w:tmpl w:val="DC8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445D7"/>
    <w:multiLevelType w:val="multilevel"/>
    <w:tmpl w:val="04F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36E4F"/>
    <w:multiLevelType w:val="multilevel"/>
    <w:tmpl w:val="160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C42F3"/>
    <w:multiLevelType w:val="multilevel"/>
    <w:tmpl w:val="38D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42E49"/>
    <w:multiLevelType w:val="multilevel"/>
    <w:tmpl w:val="CDD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2254F"/>
    <w:multiLevelType w:val="multilevel"/>
    <w:tmpl w:val="E04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23B1B"/>
    <w:multiLevelType w:val="multilevel"/>
    <w:tmpl w:val="720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D5654"/>
    <w:multiLevelType w:val="hybridMultilevel"/>
    <w:tmpl w:val="5ADAF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4569FA"/>
    <w:multiLevelType w:val="multilevel"/>
    <w:tmpl w:val="AF8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10E52"/>
    <w:multiLevelType w:val="multilevel"/>
    <w:tmpl w:val="3DE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781724">
    <w:abstractNumId w:val="21"/>
  </w:num>
  <w:num w:numId="2" w16cid:durableId="194972625">
    <w:abstractNumId w:val="23"/>
  </w:num>
  <w:num w:numId="3" w16cid:durableId="647633547">
    <w:abstractNumId w:val="4"/>
  </w:num>
  <w:num w:numId="4" w16cid:durableId="585115907">
    <w:abstractNumId w:val="29"/>
  </w:num>
  <w:num w:numId="5" w16cid:durableId="770591954">
    <w:abstractNumId w:val="2"/>
  </w:num>
  <w:num w:numId="6" w16cid:durableId="232742717">
    <w:abstractNumId w:val="25"/>
  </w:num>
  <w:num w:numId="7" w16cid:durableId="1109011638">
    <w:abstractNumId w:val="30"/>
  </w:num>
  <w:num w:numId="8" w16cid:durableId="1701856596">
    <w:abstractNumId w:val="18"/>
  </w:num>
  <w:num w:numId="9" w16cid:durableId="1798915518">
    <w:abstractNumId w:val="24"/>
  </w:num>
  <w:num w:numId="10" w16cid:durableId="1214660325">
    <w:abstractNumId w:val="16"/>
  </w:num>
  <w:num w:numId="11" w16cid:durableId="53894650">
    <w:abstractNumId w:val="10"/>
  </w:num>
  <w:num w:numId="12" w16cid:durableId="1367677939">
    <w:abstractNumId w:val="7"/>
  </w:num>
  <w:num w:numId="13" w16cid:durableId="1002929547">
    <w:abstractNumId w:val="31"/>
  </w:num>
  <w:num w:numId="14" w16cid:durableId="1041516366">
    <w:abstractNumId w:val="6"/>
  </w:num>
  <w:num w:numId="15" w16cid:durableId="164321256">
    <w:abstractNumId w:val="17"/>
  </w:num>
  <w:num w:numId="16" w16cid:durableId="819617968">
    <w:abstractNumId w:val="14"/>
  </w:num>
  <w:num w:numId="17" w16cid:durableId="1122192159">
    <w:abstractNumId w:val="8"/>
  </w:num>
  <w:num w:numId="18" w16cid:durableId="865942137">
    <w:abstractNumId w:val="15"/>
  </w:num>
  <w:num w:numId="19" w16cid:durableId="896355089">
    <w:abstractNumId w:val="0"/>
  </w:num>
  <w:num w:numId="20" w16cid:durableId="1260869935">
    <w:abstractNumId w:val="19"/>
  </w:num>
  <w:num w:numId="21" w16cid:durableId="1359743153">
    <w:abstractNumId w:val="13"/>
  </w:num>
  <w:num w:numId="22" w16cid:durableId="2045515743">
    <w:abstractNumId w:val="12"/>
  </w:num>
  <w:num w:numId="23" w16cid:durableId="615600463">
    <w:abstractNumId w:val="3"/>
  </w:num>
  <w:num w:numId="24" w16cid:durableId="139351091">
    <w:abstractNumId w:val="9"/>
  </w:num>
  <w:num w:numId="25" w16cid:durableId="928853962">
    <w:abstractNumId w:val="1"/>
  </w:num>
  <w:num w:numId="26" w16cid:durableId="1319923589">
    <w:abstractNumId w:val="28"/>
  </w:num>
  <w:num w:numId="27" w16cid:durableId="1183082989">
    <w:abstractNumId w:val="5"/>
  </w:num>
  <w:num w:numId="28" w16cid:durableId="1703482951">
    <w:abstractNumId w:val="27"/>
  </w:num>
  <w:num w:numId="29" w16cid:durableId="1947273200">
    <w:abstractNumId w:val="22"/>
  </w:num>
  <w:num w:numId="30" w16cid:durableId="16083297">
    <w:abstractNumId w:val="11"/>
  </w:num>
  <w:num w:numId="31" w16cid:durableId="1222792460">
    <w:abstractNumId w:val="32"/>
  </w:num>
  <w:num w:numId="32" w16cid:durableId="608898992">
    <w:abstractNumId w:val="26"/>
  </w:num>
  <w:num w:numId="33" w16cid:durableId="919948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2D"/>
    <w:rsid w:val="00026BC7"/>
    <w:rsid w:val="00056983"/>
    <w:rsid w:val="0006085C"/>
    <w:rsid w:val="000653C3"/>
    <w:rsid w:val="00073E1D"/>
    <w:rsid w:val="00080A6B"/>
    <w:rsid w:val="000A7CE5"/>
    <w:rsid w:val="000F031E"/>
    <w:rsid w:val="0010592D"/>
    <w:rsid w:val="00116F16"/>
    <w:rsid w:val="001656F4"/>
    <w:rsid w:val="00170D49"/>
    <w:rsid w:val="0021654B"/>
    <w:rsid w:val="00231094"/>
    <w:rsid w:val="00265169"/>
    <w:rsid w:val="00265A10"/>
    <w:rsid w:val="00274065"/>
    <w:rsid w:val="00274FA8"/>
    <w:rsid w:val="002A438F"/>
    <w:rsid w:val="002E4408"/>
    <w:rsid w:val="00300465"/>
    <w:rsid w:val="00335CA2"/>
    <w:rsid w:val="00346369"/>
    <w:rsid w:val="003502C3"/>
    <w:rsid w:val="00393F59"/>
    <w:rsid w:val="003E1D99"/>
    <w:rsid w:val="00446939"/>
    <w:rsid w:val="00455BC9"/>
    <w:rsid w:val="004A16E8"/>
    <w:rsid w:val="004B1C54"/>
    <w:rsid w:val="004B5B69"/>
    <w:rsid w:val="004D6C91"/>
    <w:rsid w:val="005050AF"/>
    <w:rsid w:val="00507E0A"/>
    <w:rsid w:val="00512A22"/>
    <w:rsid w:val="005621DC"/>
    <w:rsid w:val="005627BC"/>
    <w:rsid w:val="0057321E"/>
    <w:rsid w:val="005A2D6B"/>
    <w:rsid w:val="00614838"/>
    <w:rsid w:val="00643634"/>
    <w:rsid w:val="006769D8"/>
    <w:rsid w:val="006F50D4"/>
    <w:rsid w:val="0074308C"/>
    <w:rsid w:val="00775EEF"/>
    <w:rsid w:val="00790A70"/>
    <w:rsid w:val="007B4BD7"/>
    <w:rsid w:val="007E160F"/>
    <w:rsid w:val="0093628A"/>
    <w:rsid w:val="00970E3D"/>
    <w:rsid w:val="009C232A"/>
    <w:rsid w:val="009D6B39"/>
    <w:rsid w:val="00AB44FA"/>
    <w:rsid w:val="00B27C1D"/>
    <w:rsid w:val="00B50DC4"/>
    <w:rsid w:val="00B52A3C"/>
    <w:rsid w:val="00B923C2"/>
    <w:rsid w:val="00B930E3"/>
    <w:rsid w:val="00BA7D04"/>
    <w:rsid w:val="00C13E26"/>
    <w:rsid w:val="00C5485C"/>
    <w:rsid w:val="00C91801"/>
    <w:rsid w:val="00CA2588"/>
    <w:rsid w:val="00CB11E3"/>
    <w:rsid w:val="00CC12B2"/>
    <w:rsid w:val="00CD4CE7"/>
    <w:rsid w:val="00CF5085"/>
    <w:rsid w:val="00D00A44"/>
    <w:rsid w:val="00D252D8"/>
    <w:rsid w:val="00D66107"/>
    <w:rsid w:val="00DB299E"/>
    <w:rsid w:val="00DD24A4"/>
    <w:rsid w:val="00E76442"/>
    <w:rsid w:val="00EB4B4B"/>
    <w:rsid w:val="00F06D49"/>
    <w:rsid w:val="00F57AF8"/>
    <w:rsid w:val="00FB23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3BEF"/>
  <w15:chartTrackingRefBased/>
  <w15:docId w15:val="{BCC37AE8-A6BB-4166-BD39-31CF0EE8F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0F"/>
  </w:style>
  <w:style w:type="paragraph" w:styleId="Heading1">
    <w:name w:val="heading 1"/>
    <w:basedOn w:val="Normal"/>
    <w:next w:val="Normal"/>
    <w:link w:val="Heading1Char"/>
    <w:uiPriority w:val="9"/>
    <w:qFormat/>
    <w:rsid w:val="00105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2D"/>
    <w:rPr>
      <w:rFonts w:eastAsiaTheme="majorEastAsia" w:cstheme="majorBidi"/>
      <w:color w:val="272727" w:themeColor="text1" w:themeTint="D8"/>
    </w:rPr>
  </w:style>
  <w:style w:type="paragraph" w:styleId="Title">
    <w:name w:val="Title"/>
    <w:basedOn w:val="Normal"/>
    <w:next w:val="Normal"/>
    <w:link w:val="TitleChar"/>
    <w:uiPriority w:val="10"/>
    <w:qFormat/>
    <w:rsid w:val="00105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2D"/>
    <w:pPr>
      <w:spacing w:before="160"/>
      <w:jc w:val="center"/>
    </w:pPr>
    <w:rPr>
      <w:i/>
      <w:iCs/>
      <w:color w:val="404040" w:themeColor="text1" w:themeTint="BF"/>
    </w:rPr>
  </w:style>
  <w:style w:type="character" w:customStyle="1" w:styleId="QuoteChar">
    <w:name w:val="Quote Char"/>
    <w:basedOn w:val="DefaultParagraphFont"/>
    <w:link w:val="Quote"/>
    <w:uiPriority w:val="29"/>
    <w:rsid w:val="0010592D"/>
    <w:rPr>
      <w:i/>
      <w:iCs/>
      <w:color w:val="404040" w:themeColor="text1" w:themeTint="BF"/>
    </w:rPr>
  </w:style>
  <w:style w:type="paragraph" w:styleId="ListParagraph">
    <w:name w:val="List Paragraph"/>
    <w:basedOn w:val="Normal"/>
    <w:uiPriority w:val="34"/>
    <w:qFormat/>
    <w:rsid w:val="0010592D"/>
    <w:pPr>
      <w:ind w:left="720"/>
      <w:contextualSpacing/>
    </w:pPr>
  </w:style>
  <w:style w:type="character" w:styleId="IntenseEmphasis">
    <w:name w:val="Intense Emphasis"/>
    <w:basedOn w:val="DefaultParagraphFont"/>
    <w:uiPriority w:val="21"/>
    <w:qFormat/>
    <w:rsid w:val="0010592D"/>
    <w:rPr>
      <w:i/>
      <w:iCs/>
      <w:color w:val="0F4761" w:themeColor="accent1" w:themeShade="BF"/>
    </w:rPr>
  </w:style>
  <w:style w:type="paragraph" w:styleId="IntenseQuote">
    <w:name w:val="Intense Quote"/>
    <w:basedOn w:val="Normal"/>
    <w:next w:val="Normal"/>
    <w:link w:val="IntenseQuoteChar"/>
    <w:uiPriority w:val="30"/>
    <w:qFormat/>
    <w:rsid w:val="00105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92D"/>
    <w:rPr>
      <w:i/>
      <w:iCs/>
      <w:color w:val="0F4761" w:themeColor="accent1" w:themeShade="BF"/>
    </w:rPr>
  </w:style>
  <w:style w:type="character" w:styleId="IntenseReference">
    <w:name w:val="Intense Reference"/>
    <w:basedOn w:val="DefaultParagraphFont"/>
    <w:uiPriority w:val="32"/>
    <w:qFormat/>
    <w:rsid w:val="0010592D"/>
    <w:rPr>
      <w:b/>
      <w:bCs/>
      <w:smallCaps/>
      <w:color w:val="0F4761" w:themeColor="accent1" w:themeShade="BF"/>
      <w:spacing w:val="5"/>
    </w:rPr>
  </w:style>
  <w:style w:type="character" w:styleId="Hyperlink">
    <w:name w:val="Hyperlink"/>
    <w:basedOn w:val="DefaultParagraphFont"/>
    <w:uiPriority w:val="99"/>
    <w:unhideWhenUsed/>
    <w:rsid w:val="00E76442"/>
    <w:rPr>
      <w:color w:val="467886" w:themeColor="hyperlink"/>
      <w:u w:val="single"/>
    </w:rPr>
  </w:style>
  <w:style w:type="character" w:styleId="UnresolvedMention">
    <w:name w:val="Unresolved Mention"/>
    <w:basedOn w:val="DefaultParagraphFont"/>
    <w:uiPriority w:val="99"/>
    <w:semiHidden/>
    <w:unhideWhenUsed/>
    <w:rsid w:val="00E76442"/>
    <w:rPr>
      <w:color w:val="605E5C"/>
      <w:shd w:val="clear" w:color="auto" w:fill="E1DFDD"/>
    </w:rPr>
  </w:style>
  <w:style w:type="paragraph" w:styleId="Header">
    <w:name w:val="header"/>
    <w:basedOn w:val="Normal"/>
    <w:link w:val="HeaderChar"/>
    <w:uiPriority w:val="99"/>
    <w:unhideWhenUsed/>
    <w:rsid w:val="004B5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B69"/>
  </w:style>
  <w:style w:type="paragraph" w:styleId="Footer">
    <w:name w:val="footer"/>
    <w:basedOn w:val="Normal"/>
    <w:link w:val="FooterChar"/>
    <w:uiPriority w:val="99"/>
    <w:unhideWhenUsed/>
    <w:rsid w:val="004B5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B69"/>
  </w:style>
  <w:style w:type="table" w:styleId="TableGrid">
    <w:name w:val="Table Grid"/>
    <w:basedOn w:val="TableNormal"/>
    <w:uiPriority w:val="39"/>
    <w:rsid w:val="00216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6B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21DC"/>
    <w:rPr>
      <w:b/>
      <w:bCs/>
    </w:rPr>
  </w:style>
  <w:style w:type="character" w:customStyle="1" w:styleId="apple-converted-space">
    <w:name w:val="apple-converted-space"/>
    <w:basedOn w:val="DefaultParagraphFont"/>
    <w:rsid w:val="00562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propublica.org/nonprofits/organizations/591039811?utm_source=chatgpt.com" TargetMode="External"/><Relationship Id="rId18" Type="http://schemas.openxmlformats.org/officeDocument/2006/relationships/hyperlink" Target="https://doi.org/10.1080/09669582.2024.2309544" TargetMode="External"/><Relationship Id="rId26" Type="http://schemas.openxmlformats.org/officeDocument/2006/relationships/hyperlink" Target="https://doi.org/10.1057/s41599-024-03583-4" TargetMode="External"/><Relationship Id="rId21" Type="http://schemas.openxmlformats.org/officeDocument/2006/relationships/hyperlink" Target="https://www.ftc.gov/business-guidance/resources/complying-coppa-frequently-asked-questions?utm_source=chatgpt.com" TargetMode="External"/><Relationship Id="rId34" Type="http://schemas.openxmlformats.org/officeDocument/2006/relationships/hyperlink" Target="https://doi.org/10.1057/s41599-024-03583-4" TargetMode="External"/><Relationship Id="rId7" Type="http://schemas.openxmlformats.org/officeDocument/2006/relationships/image" Target="media/image1.jpeg"/><Relationship Id="rId12" Type="http://schemas.openxmlformats.org/officeDocument/2006/relationships/hyperlink" Target="https://990finder.trantorfintech.com/591039811/?utm_source=chatgpt.com" TargetMode="External"/><Relationship Id="rId17" Type="http://schemas.openxmlformats.org/officeDocument/2006/relationships/hyperlink" Target="https://www.expo2020dubai.com/en/news/expo2020-passport?utm_source=chatgpt.com" TargetMode="External"/><Relationship Id="rId25" Type="http://schemas.openxmlformats.org/officeDocument/2006/relationships/hyperlink" Target="https://www.fairexpo.com/about?utm_source=chatgpt.com" TargetMode="External"/><Relationship Id="rId33" Type="http://schemas.openxmlformats.org/officeDocument/2006/relationships/hyperlink" Target="https://www.iso.org/standard/86389.html?utm_source=chatgpt.co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insights.eventscouncil.org/Sustainability/Sustainability-Events-Standards?utm_source=chatgpt.com" TargetMode="External"/><Relationship Id="rId29" Type="http://schemas.openxmlformats.org/officeDocument/2006/relationships/hyperlink" Target="https://insights.eventscouncil.org/Sustainability/Sustainability-Events-Standard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oridastatefair.com" TargetMode="External"/><Relationship Id="rId24" Type="http://schemas.openxmlformats.org/officeDocument/2006/relationships/hyperlink" Target="https://www.iso.org/standard/86389.html?utm_source=chatgpt.com" TargetMode="External"/><Relationship Id="rId32" Type="http://schemas.openxmlformats.org/officeDocument/2006/relationships/hyperlink" Target="https://doi.org/10.3389/fpsyg.2021.677137"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3389/fpsyg.2021.677137" TargetMode="External"/><Relationship Id="rId28" Type="http://schemas.openxmlformats.org/officeDocument/2006/relationships/hyperlink" Target="https://doi.org/10.2501/S0021849906060430" TargetMode="External"/><Relationship Id="rId36" Type="http://schemas.openxmlformats.org/officeDocument/2006/relationships/fontTable" Target="fontTable.xml"/><Relationship Id="rId10" Type="http://schemas.openxmlformats.org/officeDocument/2006/relationships/hyperlink" Target="https://communitynewspapers.com/featured/2024-youth-fair-to-host-more-than-32k-miami-dade-county-students-as-part-of-yearly-field-trip-days/?utm_source=chatgpt.com" TargetMode="External"/><Relationship Id="rId19" Type="http://schemas.openxmlformats.org/officeDocument/2006/relationships/hyperlink" Target="https://doi.org/10.2501/S0021849906060430" TargetMode="External"/><Relationship Id="rId31" Type="http://schemas.openxmlformats.org/officeDocument/2006/relationships/hyperlink" Target="https://ghgprotocol.org/calculation-tools-and-guidance?utm_source=chatgpt.com"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www.southfloridafair.com" TargetMode="External"/><Relationship Id="rId22" Type="http://schemas.openxmlformats.org/officeDocument/2006/relationships/hyperlink" Target="https://ghgprotocol.org/calculation-tools-and-guidance?utm_source=chatgpt.com" TargetMode="External"/><Relationship Id="rId27" Type="http://schemas.openxmlformats.org/officeDocument/2006/relationships/hyperlink" Target="https://doi.org/10.1080/09669582.2024.2309544" TargetMode="External"/><Relationship Id="rId30" Type="http://schemas.openxmlformats.org/officeDocument/2006/relationships/hyperlink" Target="https://www.ftc.gov/business-guidance/resources/complying-coppa-frequently-asked-questions?utm_source=chatgpt.com"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10480</Words>
  <Characters>59741</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Abdulgader Turkistani</dc:creator>
  <cp:keywords/>
  <dc:description/>
  <cp:lastModifiedBy>Microsoft Office User</cp:lastModifiedBy>
  <cp:revision>2</cp:revision>
  <dcterms:created xsi:type="dcterms:W3CDTF">2026-04-08T17:16:00Z</dcterms:created>
  <dcterms:modified xsi:type="dcterms:W3CDTF">2026-04-08T17:16:00Z</dcterms:modified>
</cp:coreProperties>
</file>