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40C6" w14:textId="77777777" w:rsidR="0000560A" w:rsidRDefault="00000000">
      <w:pPr>
        <w:spacing w:after="240"/>
        <w:jc w:val="center"/>
      </w:pPr>
      <w:r>
        <w:rPr>
          <w:b/>
        </w:rPr>
        <w:t>References</w:t>
      </w:r>
    </w:p>
    <w:p w14:paraId="64FCDEF1" w14:textId="77777777" w:rsidR="0000560A" w:rsidRDefault="00000000">
      <w:pPr>
        <w:spacing w:after="0" w:line="480" w:lineRule="auto"/>
        <w:ind w:hanging="720"/>
      </w:pPr>
      <w:r>
        <w:t xml:space="preserve">Ben Salem, T., &amp; Ishtiwi, I. S. (2025). World Cup 2026 and artificial intelligence: How algorithms are reshaping public discussions on football across social media. </w:t>
      </w:r>
      <w:r>
        <w:rPr>
          <w:i/>
        </w:rPr>
        <w:t>Sport System Journal, 12</w:t>
      </w:r>
      <w:r>
        <w:t xml:space="preserve">(2), 717–728. </w:t>
      </w:r>
    </w:p>
    <w:p w14:paraId="5401BCC9" w14:textId="77777777" w:rsidR="0000560A" w:rsidRDefault="00000000">
      <w:pPr>
        <w:spacing w:after="0" w:line="480" w:lineRule="auto"/>
        <w:ind w:hanging="720"/>
      </w:pPr>
      <w:r>
        <w:t xml:space="preserve">Flyvbjerg, B. (2014). What you should know about megaprojects and why: An overview. </w:t>
      </w:r>
      <w:r>
        <w:rPr>
          <w:i/>
        </w:rPr>
        <w:t>Project Management Journal, 45</w:t>
      </w:r>
      <w:r>
        <w:t>(2), 6–17.</w:t>
      </w:r>
    </w:p>
    <w:p w14:paraId="61B440D0" w14:textId="77777777" w:rsidR="0000560A" w:rsidRDefault="00000000">
      <w:pPr>
        <w:spacing w:after="0" w:line="480" w:lineRule="auto"/>
        <w:ind w:hanging="720"/>
      </w:pPr>
      <w:r>
        <w:t xml:space="preserve">Jobin, A., Ienca, M., &amp; Vayena, E. (2019). The global landscape of AI ethics guidelines. </w:t>
      </w:r>
      <w:r>
        <w:rPr>
          <w:i/>
        </w:rPr>
        <w:t>Nature Machine Intelligence, 1</w:t>
      </w:r>
      <w:r>
        <w:t>(9), 389–399.</w:t>
      </w:r>
    </w:p>
    <w:p w14:paraId="5B274493" w14:textId="77777777" w:rsidR="0000560A" w:rsidRDefault="00000000">
      <w:pPr>
        <w:spacing w:after="0" w:line="480" w:lineRule="auto"/>
        <w:ind w:hanging="720"/>
      </w:pPr>
      <w:r>
        <w:t xml:space="preserve">Kim, H. W., &amp; Kankanhalli, A. (2009). Investigating user resistance to information systems implementation: A status quo bias perspective. </w:t>
      </w:r>
      <w:r>
        <w:rPr>
          <w:i/>
        </w:rPr>
        <w:t>MIS Quarterly, 33</w:t>
      </w:r>
      <w:r>
        <w:t>(3), 567–582.</w:t>
      </w:r>
    </w:p>
    <w:p w14:paraId="0C7EB384" w14:textId="77777777" w:rsidR="0000560A" w:rsidRDefault="00000000">
      <w:pPr>
        <w:spacing w:after="0" w:line="480" w:lineRule="auto"/>
        <w:ind w:hanging="720"/>
      </w:pPr>
      <w:r>
        <w:t xml:space="preserve">Kroll, J. A., Huey, J., Barocas, S., Felten, E. W., Reidenberg, J. R., Robinson, D. G., &amp; Yu, H. (2017). Accountable algorithms. </w:t>
      </w:r>
      <w:r>
        <w:rPr>
          <w:i/>
        </w:rPr>
        <w:t>University of Pennsylvania Law Review, 165</w:t>
      </w:r>
      <w:r>
        <w:t>, 633–705.</w:t>
      </w:r>
    </w:p>
    <w:p w14:paraId="73B988F2" w14:textId="77777777" w:rsidR="0000560A" w:rsidRDefault="00000000">
      <w:pPr>
        <w:spacing w:after="0" w:line="480" w:lineRule="auto"/>
        <w:ind w:hanging="720"/>
      </w:pPr>
      <w:r>
        <w:t xml:space="preserve">Kumar, D., &amp; Ratten, V. (2026). Artificial intelligence in event management: A systematic literature review. </w:t>
      </w:r>
      <w:r>
        <w:rPr>
          <w:i/>
        </w:rPr>
        <w:t>Event Management, 30</w:t>
      </w:r>
      <w:r>
        <w:t>(1), 17–33. https://doi.org/10.3727/152599525X17483017436968</w:t>
      </w:r>
    </w:p>
    <w:p w14:paraId="2FC79C62" w14:textId="77777777" w:rsidR="0000560A" w:rsidRDefault="00000000">
      <w:pPr>
        <w:spacing w:after="0" w:line="480" w:lineRule="auto"/>
        <w:ind w:hanging="720"/>
      </w:pPr>
      <w:r>
        <w:t xml:space="preserve">Lee, J. D., &amp; See, K. A. (2004). Trust in automation: Designing for appropriate reliance. </w:t>
      </w:r>
      <w:r>
        <w:rPr>
          <w:i/>
        </w:rPr>
        <w:t>Human Factors, 46</w:t>
      </w:r>
      <w:r>
        <w:t>(1), 50–80.</w:t>
      </w:r>
    </w:p>
    <w:p w14:paraId="17C727CE" w14:textId="77777777" w:rsidR="0000560A" w:rsidRDefault="00000000">
      <w:pPr>
        <w:spacing w:after="0" w:line="480" w:lineRule="auto"/>
        <w:ind w:hanging="720"/>
      </w:pPr>
      <w:r>
        <w:t xml:space="preserve">Lundin, R. A., &amp; Söderholm, A. (1995). A theory of the temporary organization. </w:t>
      </w:r>
      <w:r>
        <w:rPr>
          <w:i/>
        </w:rPr>
        <w:t>Scandinavian Journal of Management, 11</w:t>
      </w:r>
      <w:r>
        <w:t>(4), 437–455.</w:t>
      </w:r>
    </w:p>
    <w:p w14:paraId="4E4ED942" w14:textId="77777777" w:rsidR="0000560A" w:rsidRDefault="00000000">
      <w:pPr>
        <w:spacing w:after="0" w:line="480" w:lineRule="auto"/>
        <w:ind w:hanging="720"/>
      </w:pPr>
      <w:r>
        <w:t xml:space="preserve">Marocco, S., Barbieri, B., &amp; Talamo, A. (2024). Exploring facilitators and barriers to managers’ adoption of AI-based systems in decision making: A systematic review. </w:t>
      </w:r>
      <w:r>
        <w:rPr>
          <w:i/>
        </w:rPr>
        <w:t>AI, 5</w:t>
      </w:r>
      <w:r>
        <w:t>(4), 2538–2567.</w:t>
      </w:r>
    </w:p>
    <w:p w14:paraId="41F1A77F" w14:textId="77777777" w:rsidR="0000560A" w:rsidRDefault="00000000">
      <w:pPr>
        <w:spacing w:after="0" w:line="480" w:lineRule="auto"/>
        <w:ind w:hanging="720"/>
      </w:pPr>
      <w:r>
        <w:t xml:space="preserve">Mayer, R. C., Davis, J. H., &amp; Schoorman, F. D. (1995). An integrative model of organizational trust. </w:t>
      </w:r>
      <w:r>
        <w:rPr>
          <w:i/>
        </w:rPr>
        <w:t>Academy of Management Review, 20</w:t>
      </w:r>
      <w:r>
        <w:t>(3), 709–734.</w:t>
      </w:r>
    </w:p>
    <w:p w14:paraId="6EB389E7" w14:textId="77777777" w:rsidR="0000560A" w:rsidRDefault="00000000">
      <w:pPr>
        <w:spacing w:after="0" w:line="480" w:lineRule="auto"/>
        <w:ind w:hanging="720"/>
      </w:pPr>
      <w:r>
        <w:lastRenderedPageBreak/>
        <w:t xml:space="preserve">Megheirkouni, M., Baxter, K., Ni, A. K., &amp; Jing, Y. (2025). Leadership-artificial intelligence interaction for sustainable mega events: Rethinking the current and future research and practices. </w:t>
      </w:r>
      <w:r>
        <w:rPr>
          <w:i/>
        </w:rPr>
        <w:t xml:space="preserve">Event Management. </w:t>
      </w:r>
      <w:r>
        <w:t>Advance online publication. https://doi.org/10.3727/152599525X17385344274487</w:t>
      </w:r>
    </w:p>
    <w:p w14:paraId="78BE49CB" w14:textId="77777777" w:rsidR="0000560A" w:rsidRDefault="00000000">
      <w:pPr>
        <w:spacing w:after="0" w:line="480" w:lineRule="auto"/>
        <w:ind w:hanging="720"/>
      </w:pPr>
      <w:r>
        <w:t xml:space="preserve">Mittelstadt, B. (2019). Principles alone cannot guarantee ethical AI. </w:t>
      </w:r>
      <w:r>
        <w:rPr>
          <w:i/>
        </w:rPr>
        <w:t>Nature Machine Intelligence, 1</w:t>
      </w:r>
      <w:r>
        <w:t>(11), 501–507.</w:t>
      </w:r>
    </w:p>
    <w:p w14:paraId="3721D9B9" w14:textId="77777777" w:rsidR="0000560A" w:rsidRDefault="00000000">
      <w:pPr>
        <w:spacing w:after="0" w:line="480" w:lineRule="auto"/>
        <w:ind w:hanging="720"/>
      </w:pPr>
      <w:r>
        <w:t xml:space="preserve">Müller, M. (2015). The mega-event syndrome: Why so much goes wrong in mega-event planning and what to do about it. </w:t>
      </w:r>
      <w:r>
        <w:rPr>
          <w:i/>
        </w:rPr>
        <w:t>Journal of the American Planning Association, 81</w:t>
      </w:r>
      <w:r>
        <w:t>(1), 6–17.</w:t>
      </w:r>
    </w:p>
    <w:p w14:paraId="28AA541E" w14:textId="77777777" w:rsidR="0000560A" w:rsidRDefault="00000000">
      <w:pPr>
        <w:spacing w:after="0" w:line="480" w:lineRule="auto"/>
        <w:ind w:hanging="720"/>
      </w:pPr>
      <w:r>
        <w:t xml:space="preserve">Neuhofer, B., Buhalis, D., &amp; Ladkin, A. (2015). Smart technologies for personalized experiences: A case study in the hospitality domain. </w:t>
      </w:r>
      <w:r>
        <w:rPr>
          <w:i/>
        </w:rPr>
        <w:t>Electronic Markets, 25</w:t>
      </w:r>
      <w:r>
        <w:t>(3), 243–254. https://doi.org/10.1007/s12525-015-0182-1</w:t>
      </w:r>
    </w:p>
    <w:p w14:paraId="2969C86F" w14:textId="77777777" w:rsidR="0000560A" w:rsidRDefault="00000000">
      <w:pPr>
        <w:spacing w:after="0" w:line="480" w:lineRule="auto"/>
        <w:ind w:hanging="720"/>
      </w:pPr>
      <w:r>
        <w:t xml:space="preserve">Parasuraman, R., &amp; Riley, V. (1997). Humans and automation: Use, misuse, disuse, abuse. </w:t>
      </w:r>
      <w:r>
        <w:rPr>
          <w:i/>
        </w:rPr>
        <w:t>Human Factors, 39</w:t>
      </w:r>
      <w:r>
        <w:t>(2), 230–253.</w:t>
      </w:r>
    </w:p>
    <w:p w14:paraId="5A3B1361" w14:textId="77777777" w:rsidR="0000560A" w:rsidRDefault="00000000">
      <w:pPr>
        <w:spacing w:after="0" w:line="480" w:lineRule="auto"/>
        <w:ind w:hanging="720"/>
      </w:pPr>
      <w:r>
        <w:t>Roche, M. (2000). Mega-events and modernity: Olympics and expos in the growth of global culture. Routledge.</w:t>
      </w:r>
    </w:p>
    <w:p w14:paraId="27634DE7" w14:textId="77777777" w:rsidR="0000560A" w:rsidRDefault="00000000">
      <w:pPr>
        <w:spacing w:after="0" w:line="480" w:lineRule="auto"/>
        <w:ind w:hanging="720"/>
      </w:pPr>
      <w:r>
        <w:t xml:space="preserve">Schoorman, F. D., Mayer, R. C., &amp; Davis, J. H. (2007). An integrative model of organizational trust: Past, present, and future. </w:t>
      </w:r>
      <w:r>
        <w:rPr>
          <w:i/>
        </w:rPr>
        <w:t>Academy of Management Review, 32</w:t>
      </w:r>
      <w:r>
        <w:t>(2), 344–354.</w:t>
      </w:r>
    </w:p>
    <w:p w14:paraId="27B04C58" w14:textId="77777777" w:rsidR="0000560A" w:rsidRDefault="00000000">
      <w:pPr>
        <w:spacing w:after="0" w:line="480" w:lineRule="auto"/>
        <w:ind w:hanging="720"/>
      </w:pPr>
      <w:r>
        <w:t xml:space="preserve">Slovic, P. (1987). Perceived risk. </w:t>
      </w:r>
      <w:r>
        <w:rPr>
          <w:i/>
        </w:rPr>
        <w:t>Science, 236</w:t>
      </w:r>
      <w:r>
        <w:t>(4799), 280–285.</w:t>
      </w:r>
    </w:p>
    <w:p w14:paraId="316D9301" w14:textId="77777777" w:rsidR="0000560A" w:rsidRDefault="00000000">
      <w:pPr>
        <w:spacing w:after="0" w:line="480" w:lineRule="auto"/>
        <w:ind w:hanging="720"/>
      </w:pPr>
      <w:r>
        <w:t xml:space="preserve">Suchman, M. C. (1995). Managing legitimacy: Strategic and institutional approaches. </w:t>
      </w:r>
      <w:r>
        <w:rPr>
          <w:i/>
        </w:rPr>
        <w:t>Academy of Management Review, 20</w:t>
      </w:r>
      <w:r>
        <w:t>(3), 571–610.</w:t>
      </w:r>
    </w:p>
    <w:p w14:paraId="53AD4855" w14:textId="77777777" w:rsidR="0000560A" w:rsidRDefault="00000000">
      <w:pPr>
        <w:spacing w:after="0" w:line="480" w:lineRule="auto"/>
        <w:ind w:hanging="720"/>
      </w:pPr>
      <w:r>
        <w:t xml:space="preserve">Venkatesh, V., Morris, M. G., Davis, G. B., &amp; Davis, F. D. (2003). User acceptance of information technology: Toward a unified view. </w:t>
      </w:r>
      <w:r>
        <w:rPr>
          <w:i/>
        </w:rPr>
        <w:t>MIS Quarterly, 27</w:t>
      </w:r>
      <w:r>
        <w:t>(3), 425–478.</w:t>
      </w:r>
    </w:p>
    <w:p w14:paraId="39BCBCD8" w14:textId="77777777" w:rsidR="0000560A" w:rsidRDefault="00000000">
      <w:pPr>
        <w:spacing w:after="0" w:line="480" w:lineRule="auto"/>
        <w:ind w:hanging="720"/>
      </w:pPr>
      <w:r>
        <w:lastRenderedPageBreak/>
        <w:t xml:space="preserve">Venkatesh, V., Thong, J. Y. L., &amp; Xu, X. (2012). Consumer acceptance and use of information technology: Extending the unified theory of acceptance and use of technology. </w:t>
      </w:r>
      <w:r>
        <w:rPr>
          <w:i/>
        </w:rPr>
        <w:t>MIS Quarterly, 36</w:t>
      </w:r>
      <w:r>
        <w:t>(1), 157–178.</w:t>
      </w:r>
    </w:p>
    <w:p w14:paraId="18A58DC0" w14:textId="77777777" w:rsidR="0000560A" w:rsidRDefault="00000000">
      <w:pPr>
        <w:spacing w:after="0" w:line="480" w:lineRule="auto"/>
        <w:ind w:hanging="720"/>
      </w:pPr>
      <w:r>
        <w:t xml:space="preserve">Wirtz, B. W., Weyerer, J. C., &amp; Sturm, B. J. (2020). The dark sides of artificial intelligence: An integrated AI governance framework for public administration. </w:t>
      </w:r>
      <w:r>
        <w:rPr>
          <w:i/>
        </w:rPr>
        <w:t>International Journal of Public Administration, 43</w:t>
      </w:r>
      <w:r>
        <w:t>(9), 818–829. https://doi.org/10.1080/01900692.2020.1749851</w:t>
      </w:r>
    </w:p>
    <w:p w14:paraId="223BCC14" w14:textId="77777777" w:rsidR="0000560A" w:rsidRDefault="00000000">
      <w:pPr>
        <w:spacing w:after="0" w:line="480" w:lineRule="auto"/>
        <w:ind w:hanging="720"/>
      </w:pPr>
      <w:r>
        <w:t xml:space="preserve">Zhou, J. (2023). Systematic review for knowledge transfer at international sport mega-events. </w:t>
      </w:r>
      <w:r>
        <w:rPr>
          <w:i/>
        </w:rPr>
        <w:t>Sustainability, 15</w:t>
      </w:r>
      <w:r>
        <w:t>(3), 4902.</w:t>
      </w:r>
    </w:p>
    <w:sectPr w:rsidR="0000560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531499">
    <w:abstractNumId w:val="8"/>
  </w:num>
  <w:num w:numId="2" w16cid:durableId="1236892499">
    <w:abstractNumId w:val="6"/>
  </w:num>
  <w:num w:numId="3" w16cid:durableId="689112886">
    <w:abstractNumId w:val="5"/>
  </w:num>
  <w:num w:numId="4" w16cid:durableId="814837474">
    <w:abstractNumId w:val="4"/>
  </w:num>
  <w:num w:numId="5" w16cid:durableId="322707486">
    <w:abstractNumId w:val="7"/>
  </w:num>
  <w:num w:numId="6" w16cid:durableId="1358584523">
    <w:abstractNumId w:val="3"/>
  </w:num>
  <w:num w:numId="7" w16cid:durableId="1371764217">
    <w:abstractNumId w:val="2"/>
  </w:num>
  <w:num w:numId="8" w16cid:durableId="309484290">
    <w:abstractNumId w:val="1"/>
  </w:num>
  <w:num w:numId="9" w16cid:durableId="50301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60A"/>
    <w:rsid w:val="00034616"/>
    <w:rsid w:val="0006063C"/>
    <w:rsid w:val="0015074B"/>
    <w:rsid w:val="00274065"/>
    <w:rsid w:val="0029639D"/>
    <w:rsid w:val="00326F90"/>
    <w:rsid w:val="00AA1D8D"/>
    <w:rsid w:val="00B4596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C8645A"/>
  <w14:defaultImageDpi w14:val="300"/>
  <w15:docId w15:val="{E40CBF6C-6690-E64E-822A-CE907631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2026-04-09T23:20:00Z</dcterms:created>
  <dcterms:modified xsi:type="dcterms:W3CDTF">2026-04-09T23:20:00Z</dcterms:modified>
  <cp:category/>
</cp:coreProperties>
</file>