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2651B" w14:textId="77777777" w:rsidR="00B53A5C" w:rsidRDefault="00000000">
      <w:pPr>
        <w:pStyle w:val="Title"/>
      </w:pPr>
      <w:r>
        <w:t>Enhanced Delta Smelt Monitoring</w:t>
      </w:r>
    </w:p>
    <w:p w14:paraId="1F8D6160" w14:textId="77777777" w:rsidR="00B53A5C" w:rsidRDefault="00000000">
      <w:pPr>
        <w:pStyle w:val="Subtitle"/>
      </w:pPr>
      <w:r>
        <w:t>2025 Phase 3 Preliminary Analysis</w:t>
      </w:r>
    </w:p>
    <w:p w14:paraId="0DDD6BEF" w14:textId="77777777" w:rsidR="00B53A5C" w:rsidRDefault="00000000">
      <w:pPr>
        <w:pStyle w:val="Subtitle"/>
      </w:pPr>
      <w:r>
        <w:t>U.S. Fish and Wildlife Service</w:t>
      </w:r>
    </w:p>
    <w:p w14:paraId="02825674" w14:textId="77777777" w:rsidR="00B53A5C" w:rsidRDefault="00000000">
      <w:pPr>
        <w:pStyle w:val="Subtitle"/>
      </w:pPr>
      <w:r>
        <w:t>June 23, 2025</w:t>
      </w:r>
    </w:p>
    <w:p w14:paraId="5D3B58D3" w14:textId="77777777" w:rsidR="00B53A5C" w:rsidRDefault="00000000">
      <w:pPr>
        <w:pStyle w:val="DraftEmphasis"/>
      </w:pPr>
      <w:r>
        <w:t>DRAFT</w:t>
      </w:r>
    </w:p>
    <w:p w14:paraId="48CB6D16" w14:textId="77777777" w:rsidR="00B53A5C" w:rsidRDefault="00000000">
      <w:pPr>
        <w:pStyle w:val="Heading1"/>
      </w:pPr>
      <w:r>
        <w:t>Overview</w:t>
      </w:r>
    </w:p>
    <w:p w14:paraId="3F24B04C" w14:textId="77777777" w:rsidR="00B53A5C" w:rsidRDefault="00000000">
      <w:r>
        <w:t xml:space="preserve">The Enhanced Delta Smelt Monitoring (EDSM) program started its 2025 Phase 3 sampling program for juvenile and sub-adult Delta Smelt on June 2, 2025. Sampling effort is focused on geographic areas where Delta Smelt are likely to be caught based on historical data. Sampling locations are generated using a generalized </w:t>
      </w:r>
      <w:proofErr w:type="gramStart"/>
      <w:r>
        <w:t>random-tessellation</w:t>
      </w:r>
      <w:proofErr w:type="gramEnd"/>
      <w:r>
        <w:t xml:space="preserve"> stratified (GRTS) design (Stevens and Olsen 2004) with stratification and equal probability sampling. Trawling gear similar to that used in the California Department of Fish and Wildlife’s Spring Kodiak Trawl Survey (</w:t>
      </w:r>
      <w:hyperlink r:id="rId5">
        <w:r>
          <w:t>https://www.wildlife.ca.gov/Conservation/Delta/Spring-Kodiak-Trawl</w:t>
        </w:r>
      </w:hyperlink>
      <w:r>
        <w:t>) is used to conduct multiple tows per site.</w:t>
      </w:r>
    </w:p>
    <w:p w14:paraId="7D8C1C23" w14:textId="77777777" w:rsidR="00B53A5C" w:rsidRDefault="00000000">
      <w:r>
        <w:t>Everything presented here is preliminary and subject to correction, revision, and improvement. The following points should be taken into consideration when interpreting the results:</w:t>
      </w:r>
    </w:p>
    <w:p w14:paraId="03206454" w14:textId="77777777" w:rsidR="00B53A5C" w:rsidRDefault="00000000">
      <w:pPr>
        <w:numPr>
          <w:ilvl w:val="0"/>
          <w:numId w:val="2"/>
        </w:numPr>
      </w:pPr>
      <w:r>
        <w:t>Abundance indices incorporate Delta Smelt regardless of origin, i.e.  wild or hatchery.</w:t>
      </w:r>
    </w:p>
    <w:p w14:paraId="0CB59681" w14:textId="77777777" w:rsidR="00B53A5C" w:rsidRDefault="00000000">
      <w:pPr>
        <w:numPr>
          <w:ilvl w:val="0"/>
          <w:numId w:val="2"/>
        </w:numPr>
      </w:pPr>
      <w:r>
        <w:t>Delta Smelt captured outside of the live box or cod end of the net could not be assigned to a specific tow and were excluded from this analysis (see exception in Note section below). These fish are included in the daily catch summary and are indicated by a Gear Condition Code of 9. Delta Smelt captured in highly impaired samples, e.g., samples with large net blockages of debris or vegetation, were also excluded from this analysis. These fish are included in the daily catch summary and are indicated by a Gear Condition Code of 3.</w:t>
      </w:r>
    </w:p>
    <w:p w14:paraId="2D5B77E2" w14:textId="77777777" w:rsidR="00B53A5C" w:rsidRDefault="00000000">
      <w:pPr>
        <w:numPr>
          <w:ilvl w:val="0"/>
          <w:numId w:val="2"/>
        </w:numPr>
      </w:pPr>
      <w:r>
        <w:t>The ‘Week’ designations used here were defined out of convenience and are subject to change.</w:t>
      </w:r>
    </w:p>
    <w:p w14:paraId="2912D93C" w14:textId="77777777" w:rsidR="00B53A5C" w:rsidRDefault="00000000">
      <w:pPr>
        <w:numPr>
          <w:ilvl w:val="0"/>
          <w:numId w:val="2"/>
        </w:numPr>
      </w:pPr>
      <w:r>
        <w:t>Current sampling is limited to areas of the Bay-Delta that can be safely navigated by EDSM vessels, which means areas with a minimum depth of approximately 8 feet. The abundance estimation method used here assumes that the density of fish in unsampled areas (i.e., those with depth less than 8 feet) is the same as in sampled areas (i.e., those with depth greater than or equal to 8 feet).</w:t>
      </w:r>
    </w:p>
    <w:p w14:paraId="5324899B" w14:textId="77777777" w:rsidR="00B53A5C" w:rsidRDefault="00000000">
      <w:pPr>
        <w:numPr>
          <w:ilvl w:val="0"/>
          <w:numId w:val="2"/>
        </w:numPr>
      </w:pPr>
      <w:r>
        <w:t>The methods of analysis used here remain in development.</w:t>
      </w:r>
    </w:p>
    <w:p w14:paraId="3BBFE759" w14:textId="77777777" w:rsidR="00B53A5C" w:rsidRDefault="00000000">
      <w:r>
        <w:br w:type="page"/>
      </w:r>
    </w:p>
    <w:p w14:paraId="4C1B1002" w14:textId="77777777" w:rsidR="00B53A5C" w:rsidRDefault="00000000">
      <w:pPr>
        <w:pStyle w:val="Heading1"/>
      </w:pPr>
      <w:r>
        <w:lastRenderedPageBreak/>
        <w:t>Methods</w:t>
      </w:r>
    </w:p>
    <w:p w14:paraId="4541EBED" w14:textId="77777777" w:rsidR="00B53A5C" w:rsidRDefault="00000000">
      <w:r>
        <w:t>Delta Smelt abundance indices were derived from a negative binomial generalized linear mixed model with tow-level resolution containing (1) fixed effects for each week-stratum combination, (2) first and second order polynomial terms for the environmental variables Secchi depth, specific conductance, and water temperature, (3) site random effect, and (4) volume of water sampled in a tow as an offset (Mitchell et al. 2024). The model was fit with EDSM Kodiak trawl data collected between December 2016 and the present. Results presented here are limited to the current phase.</w:t>
      </w:r>
    </w:p>
    <w:p w14:paraId="0D04BCB7" w14:textId="77777777" w:rsidR="00B53A5C" w:rsidRDefault="00000000">
      <w:pPr>
        <w:pStyle w:val="Heading1"/>
      </w:pPr>
      <w:r>
        <w:t>Results</w:t>
      </w:r>
    </w:p>
    <w:p w14:paraId="09C87540" w14:textId="77777777" w:rsidR="00B53A5C" w:rsidRDefault="00000000">
      <w:pPr>
        <w:pStyle w:val="TableCaption"/>
      </w:pPr>
      <w:r>
        <w:t xml:space="preserve">Table 1: Delta Smelt catch summary and abundance indices by week. The total number of Delta Smelt, the number of marked Delta Smelt, and the number of code-9 Delta Smelt are indicated in separate columns. Lower Bound and Upper Bound represent a 95% confidence interval on the index point estimate. An asterisk (*) is used to emphasize weeks when no code-9 Delta Smelt were </w:t>
      </w:r>
      <w:proofErr w:type="gramStart"/>
      <w:r>
        <w:t>caught</w:t>
      </w:r>
      <w:proofErr w:type="gramEnd"/>
      <w:r>
        <w:t xml:space="preserve"> and NA is used to indicate that sampling did not occur or that a quantity could not be calculated. Weekly totals are only calculated when sampling has occurred in every stratum. Sample volumes are in cubic meters. See Table 2 for the dates corresponding to each week number.</w:t>
      </w:r>
    </w:p>
    <w:tbl>
      <w:tblPr>
        <w:tblW w:w="0" w:type="auto"/>
        <w:jc w:val="center"/>
        <w:tblLayout w:type="fixed"/>
        <w:tblLook w:val="0420" w:firstRow="1" w:lastRow="0" w:firstColumn="0" w:lastColumn="0" w:noHBand="0" w:noVBand="1"/>
        <w:tblCaption w:val="Abundance index table"/>
        <w:tblDescription w:val="This table contains Delta Smelt abundance point indices and 95% confidence interval lower and upper bounds. Rows correspond to a given combination of week number and geographical stratum, except the 'All Strata' row, which provides a summary across strata for the indicated week. Additionally, the table reflects the total number of sites and tows, total number of Delta Smelt caught, total number of marked Delta Smelt caught, total number of code-9 Delta Smelt caught, and total sample volume."/>
      </w:tblPr>
      <w:tblGrid>
        <w:gridCol w:w="763"/>
        <w:gridCol w:w="2016"/>
        <w:gridCol w:w="864"/>
        <w:gridCol w:w="864"/>
        <w:gridCol w:w="1008"/>
        <w:gridCol w:w="936"/>
        <w:gridCol w:w="936"/>
        <w:gridCol w:w="1008"/>
        <w:gridCol w:w="1224"/>
        <w:gridCol w:w="936"/>
        <w:gridCol w:w="936"/>
      </w:tblGrid>
      <w:tr w:rsidR="00B53A5C" w14:paraId="210D948D" w14:textId="77777777">
        <w:trPr>
          <w:tblHeader/>
          <w:jc w:val="center"/>
        </w:trPr>
        <w:tc>
          <w:tcPr>
            <w:tcW w:w="76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A46D7A3"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b/>
                <w:color w:val="000000"/>
              </w:rPr>
            </w:pPr>
            <w:r>
              <w:rPr>
                <w:rFonts w:ascii="Calibri" w:eastAsia="Calibri" w:hAnsi="Calibri" w:cs="Calibri"/>
                <w:b/>
                <w:color w:val="000000"/>
              </w:rPr>
              <w:t>Week</w:t>
            </w:r>
          </w:p>
        </w:tc>
        <w:tc>
          <w:tcPr>
            <w:tcW w:w="201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ACB7BAE"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rPr>
                <w:rFonts w:ascii="Calibri" w:eastAsia="Calibri" w:hAnsi="Calibri" w:cs="Calibri"/>
                <w:b/>
                <w:color w:val="000000"/>
              </w:rPr>
            </w:pPr>
            <w:r>
              <w:rPr>
                <w:rFonts w:ascii="Calibri" w:eastAsia="Calibri" w:hAnsi="Calibri" w:cs="Calibri"/>
                <w:b/>
                <w:color w:val="000000"/>
              </w:rPr>
              <w:t>Stratum</w:t>
            </w:r>
          </w:p>
        </w:tc>
        <w:tc>
          <w:tcPr>
            <w:tcW w:w="8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B549888"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b/>
                <w:color w:val="000000"/>
              </w:rPr>
            </w:pPr>
            <w:r>
              <w:rPr>
                <w:rFonts w:ascii="Calibri" w:eastAsia="Calibri" w:hAnsi="Calibri" w:cs="Calibri"/>
                <w:b/>
                <w:color w:val="000000"/>
              </w:rPr>
              <w:t>Number of Sites</w:t>
            </w:r>
          </w:p>
        </w:tc>
        <w:tc>
          <w:tcPr>
            <w:tcW w:w="86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76C5679"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b/>
                <w:color w:val="000000"/>
              </w:rPr>
            </w:pPr>
            <w:r>
              <w:rPr>
                <w:rFonts w:ascii="Calibri" w:eastAsia="Calibri" w:hAnsi="Calibri" w:cs="Calibri"/>
                <w:b/>
                <w:color w:val="000000"/>
              </w:rPr>
              <w:t>Number of Tows</w:t>
            </w:r>
          </w:p>
        </w:tc>
        <w:tc>
          <w:tcPr>
            <w:tcW w:w="10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423E3B38"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b/>
                <w:color w:val="000000"/>
              </w:rPr>
            </w:pPr>
            <w:r>
              <w:rPr>
                <w:rFonts w:ascii="Calibri" w:eastAsia="Calibri" w:hAnsi="Calibri" w:cs="Calibri"/>
                <w:b/>
                <w:color w:val="000000"/>
              </w:rPr>
              <w:t>Total Number Caught</w:t>
            </w:r>
          </w:p>
        </w:tc>
        <w:tc>
          <w:tcPr>
            <w:tcW w:w="93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872B652"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b/>
                <w:color w:val="000000"/>
              </w:rPr>
            </w:pPr>
            <w:r>
              <w:rPr>
                <w:rFonts w:ascii="Calibri" w:eastAsia="Calibri" w:hAnsi="Calibri" w:cs="Calibri"/>
                <w:b/>
                <w:color w:val="000000"/>
              </w:rPr>
              <w:t>Number Marked</w:t>
            </w:r>
          </w:p>
        </w:tc>
        <w:tc>
          <w:tcPr>
            <w:tcW w:w="93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13C965F9"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b/>
                <w:color w:val="000000"/>
              </w:rPr>
            </w:pPr>
            <w:r>
              <w:rPr>
                <w:rFonts w:ascii="Calibri" w:eastAsia="Calibri" w:hAnsi="Calibri" w:cs="Calibri"/>
                <w:b/>
                <w:color w:val="000000"/>
              </w:rPr>
              <w:t>Number of Code 9's</w:t>
            </w:r>
          </w:p>
        </w:tc>
        <w:tc>
          <w:tcPr>
            <w:tcW w:w="100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3059B070"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b/>
                <w:color w:val="000000"/>
              </w:rPr>
            </w:pPr>
            <w:r>
              <w:rPr>
                <w:rFonts w:ascii="Calibri" w:eastAsia="Calibri" w:hAnsi="Calibri" w:cs="Calibri"/>
                <w:b/>
                <w:color w:val="000000"/>
              </w:rPr>
              <w:t>Total Sample Volume</w:t>
            </w:r>
          </w:p>
        </w:tc>
        <w:tc>
          <w:tcPr>
            <w:tcW w:w="122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BD28E41"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b/>
                <w:color w:val="000000"/>
              </w:rPr>
            </w:pPr>
            <w:r>
              <w:rPr>
                <w:rFonts w:ascii="Calibri" w:eastAsia="Calibri" w:hAnsi="Calibri" w:cs="Calibri"/>
                <w:b/>
                <w:color w:val="000000"/>
              </w:rPr>
              <w:t>Abundance Index</w:t>
            </w:r>
          </w:p>
        </w:tc>
        <w:tc>
          <w:tcPr>
            <w:tcW w:w="93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57A83E16"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b/>
                <w:color w:val="000000"/>
              </w:rPr>
            </w:pPr>
            <w:r>
              <w:rPr>
                <w:rFonts w:ascii="Calibri" w:eastAsia="Calibri" w:hAnsi="Calibri" w:cs="Calibri"/>
                <w:b/>
                <w:color w:val="000000"/>
              </w:rPr>
              <w:t>Lower Bound</w:t>
            </w:r>
          </w:p>
        </w:tc>
        <w:tc>
          <w:tcPr>
            <w:tcW w:w="93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6C62B02D"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b/>
                <w:color w:val="000000"/>
              </w:rPr>
            </w:pPr>
            <w:r>
              <w:rPr>
                <w:rFonts w:ascii="Calibri" w:eastAsia="Calibri" w:hAnsi="Calibri" w:cs="Calibri"/>
                <w:b/>
                <w:color w:val="000000"/>
              </w:rPr>
              <w:t>Upper Bound</w:t>
            </w:r>
          </w:p>
        </w:tc>
      </w:tr>
      <w:tr w:rsidR="00B53A5C" w14:paraId="18DDFD7B" w14:textId="77777777">
        <w:trPr>
          <w:jc w:val="center"/>
        </w:trPr>
        <w:tc>
          <w:tcPr>
            <w:tcW w:w="76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8B5C6"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1</w:t>
            </w:r>
          </w:p>
        </w:tc>
        <w:tc>
          <w:tcPr>
            <w:tcW w:w="201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22A85"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rPr>
                <w:rFonts w:ascii="Calibri" w:eastAsia="Calibri" w:hAnsi="Calibri" w:cs="Calibri"/>
                <w:color w:val="000000"/>
              </w:rPr>
            </w:pPr>
            <w:r>
              <w:rPr>
                <w:rFonts w:ascii="Calibri" w:eastAsia="Calibri" w:hAnsi="Calibri" w:cs="Calibri"/>
                <w:color w:val="000000"/>
              </w:rPr>
              <w:t>Suisun Bay</w:t>
            </w:r>
          </w:p>
        </w:tc>
        <w:tc>
          <w:tcPr>
            <w:tcW w:w="86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615FF"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5</w:t>
            </w:r>
          </w:p>
        </w:tc>
        <w:tc>
          <w:tcPr>
            <w:tcW w:w="86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69DC4"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20</w:t>
            </w:r>
          </w:p>
        </w:tc>
        <w:tc>
          <w:tcPr>
            <w:tcW w:w="100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F6901"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C2E7E"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07D86"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100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C7124"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103,018</w:t>
            </w:r>
          </w:p>
        </w:tc>
        <w:tc>
          <w:tcPr>
            <w:tcW w:w="122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D6EC3"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EEBE8"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NA</w:t>
            </w:r>
          </w:p>
        </w:tc>
        <w:tc>
          <w:tcPr>
            <w:tcW w:w="93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CFE8B"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NA</w:t>
            </w:r>
          </w:p>
        </w:tc>
      </w:tr>
      <w:tr w:rsidR="00B53A5C" w14:paraId="219B97DD" w14:textId="77777777">
        <w:trPr>
          <w:jc w:val="center"/>
        </w:trPr>
        <w:tc>
          <w:tcPr>
            <w:tcW w:w="7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20924"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1</w:t>
            </w:r>
          </w:p>
        </w:tc>
        <w:tc>
          <w:tcPr>
            <w:tcW w:w="2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5590F"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rPr>
                <w:rFonts w:ascii="Calibri" w:eastAsia="Calibri" w:hAnsi="Calibri" w:cs="Calibri"/>
                <w:color w:val="000000"/>
              </w:rPr>
            </w:pPr>
            <w:r>
              <w:rPr>
                <w:rFonts w:ascii="Calibri" w:eastAsia="Calibri" w:hAnsi="Calibri" w:cs="Calibri"/>
                <w:color w:val="000000"/>
              </w:rPr>
              <w:t>Suisun Marsh</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66A05"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E05EE"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24</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63335"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7577E"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42B15"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581D8"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117,435</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324AC"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28EDB"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NA</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F667D"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NA</w:t>
            </w:r>
          </w:p>
        </w:tc>
      </w:tr>
      <w:tr w:rsidR="00B53A5C" w14:paraId="14D06935" w14:textId="77777777">
        <w:trPr>
          <w:jc w:val="center"/>
        </w:trPr>
        <w:tc>
          <w:tcPr>
            <w:tcW w:w="7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DB394"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1</w:t>
            </w:r>
          </w:p>
        </w:tc>
        <w:tc>
          <w:tcPr>
            <w:tcW w:w="2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F1ABE"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rPr>
                <w:rFonts w:ascii="Calibri" w:eastAsia="Calibri" w:hAnsi="Calibri" w:cs="Calibri"/>
                <w:color w:val="000000"/>
              </w:rPr>
            </w:pPr>
            <w:r>
              <w:rPr>
                <w:rFonts w:ascii="Calibri" w:eastAsia="Calibri" w:hAnsi="Calibri" w:cs="Calibri"/>
                <w:color w:val="000000"/>
              </w:rPr>
              <w:t>Lower Sacramento</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1CD08"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375DC"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22</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D5D79"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7E205"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6A56B"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4DE46"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80,886</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00C8E"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E776E"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NA</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89A9E"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NA</w:t>
            </w:r>
          </w:p>
        </w:tc>
      </w:tr>
      <w:tr w:rsidR="00B53A5C" w14:paraId="1EA3C3BD" w14:textId="77777777">
        <w:trPr>
          <w:jc w:val="center"/>
        </w:trPr>
        <w:tc>
          <w:tcPr>
            <w:tcW w:w="7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0C683"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1</w:t>
            </w:r>
          </w:p>
        </w:tc>
        <w:tc>
          <w:tcPr>
            <w:tcW w:w="2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C422B"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rPr>
                <w:rFonts w:ascii="Calibri" w:eastAsia="Calibri" w:hAnsi="Calibri" w:cs="Calibri"/>
                <w:color w:val="000000"/>
              </w:rPr>
            </w:pPr>
            <w:r>
              <w:rPr>
                <w:rFonts w:ascii="Calibri" w:eastAsia="Calibri" w:hAnsi="Calibri" w:cs="Calibri"/>
                <w:color w:val="000000"/>
              </w:rPr>
              <w:t>Cache Slough LI</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33667"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7</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ACB88"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25</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F1080"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8CE26"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964DF"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F630E"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95,635</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7D1B9"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5848B"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NA</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A9645"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NA</w:t>
            </w:r>
          </w:p>
        </w:tc>
      </w:tr>
      <w:tr w:rsidR="00B53A5C" w14:paraId="16BC1D08" w14:textId="77777777">
        <w:trPr>
          <w:jc w:val="center"/>
        </w:trPr>
        <w:tc>
          <w:tcPr>
            <w:tcW w:w="7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8E814"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1</w:t>
            </w:r>
          </w:p>
        </w:tc>
        <w:tc>
          <w:tcPr>
            <w:tcW w:w="2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C0682"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rPr>
                <w:rFonts w:ascii="Calibri" w:eastAsia="Calibri" w:hAnsi="Calibri" w:cs="Calibri"/>
                <w:color w:val="000000"/>
              </w:rPr>
            </w:pPr>
            <w:r>
              <w:rPr>
                <w:rFonts w:ascii="Calibri" w:eastAsia="Calibri" w:hAnsi="Calibri" w:cs="Calibri"/>
                <w:color w:val="000000"/>
              </w:rPr>
              <w:t>Sac DW Ship Channel</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26864"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BA2E3"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24</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4C125"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28ABF"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1A736"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8BD0C"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77,127</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96E12"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073FE"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NA</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EADBE"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NA</w:t>
            </w:r>
          </w:p>
        </w:tc>
      </w:tr>
      <w:tr w:rsidR="00B53A5C" w14:paraId="46361962" w14:textId="77777777">
        <w:trPr>
          <w:jc w:val="center"/>
        </w:trPr>
        <w:tc>
          <w:tcPr>
            <w:tcW w:w="7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26890"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1</w:t>
            </w:r>
          </w:p>
        </w:tc>
        <w:tc>
          <w:tcPr>
            <w:tcW w:w="2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2400A"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rPr>
                <w:rFonts w:ascii="Calibri" w:eastAsia="Calibri" w:hAnsi="Calibri" w:cs="Calibri"/>
                <w:color w:val="000000"/>
              </w:rPr>
            </w:pPr>
            <w:r>
              <w:rPr>
                <w:rFonts w:ascii="Calibri" w:eastAsia="Calibri" w:hAnsi="Calibri" w:cs="Calibri"/>
                <w:color w:val="000000"/>
              </w:rPr>
              <w:t>Lower San Joaquin</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FB6C5"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3760F"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24</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51D21"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B423E"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93AC3"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01698"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96,208</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F9132"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20C0B"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NA</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4FCE1"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NA</w:t>
            </w:r>
          </w:p>
        </w:tc>
      </w:tr>
      <w:tr w:rsidR="00B53A5C" w14:paraId="313C7C17" w14:textId="77777777">
        <w:trPr>
          <w:jc w:val="center"/>
        </w:trPr>
        <w:tc>
          <w:tcPr>
            <w:tcW w:w="7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88FAF"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1</w:t>
            </w:r>
          </w:p>
        </w:tc>
        <w:tc>
          <w:tcPr>
            <w:tcW w:w="2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CE033"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rPr>
                <w:rFonts w:ascii="Calibri" w:eastAsia="Calibri" w:hAnsi="Calibri" w:cs="Calibri"/>
                <w:color w:val="000000"/>
              </w:rPr>
            </w:pPr>
            <w:r>
              <w:rPr>
                <w:rFonts w:ascii="Calibri" w:eastAsia="Calibri" w:hAnsi="Calibri" w:cs="Calibri"/>
                <w:color w:val="000000"/>
              </w:rPr>
              <w:t>All Strata</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1E424"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36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9E3DD"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139</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76442"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E230C"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372ED"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CD9B2"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570,310</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85536"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9C066"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NA</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6E359"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NA</w:t>
            </w:r>
          </w:p>
        </w:tc>
      </w:tr>
      <w:tr w:rsidR="00B53A5C" w14:paraId="5AA6C714" w14:textId="77777777">
        <w:trPr>
          <w:jc w:val="center"/>
        </w:trPr>
        <w:tc>
          <w:tcPr>
            <w:tcW w:w="7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13F04"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2</w:t>
            </w:r>
          </w:p>
        </w:tc>
        <w:tc>
          <w:tcPr>
            <w:tcW w:w="2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B734A"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rPr>
                <w:rFonts w:ascii="Calibri" w:eastAsia="Calibri" w:hAnsi="Calibri" w:cs="Calibri"/>
                <w:color w:val="000000"/>
              </w:rPr>
            </w:pPr>
            <w:r>
              <w:rPr>
                <w:rFonts w:ascii="Calibri" w:eastAsia="Calibri" w:hAnsi="Calibri" w:cs="Calibri"/>
                <w:color w:val="000000"/>
              </w:rPr>
              <w:t>Suisun Bay</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2BB05"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2</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D8030"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8</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B9552"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C2336"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F9FD7"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3D10C"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40,957</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7A051"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DE691"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NA</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329C8"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NA</w:t>
            </w:r>
          </w:p>
        </w:tc>
      </w:tr>
      <w:tr w:rsidR="00B53A5C" w14:paraId="3761DCA3" w14:textId="77777777">
        <w:trPr>
          <w:jc w:val="center"/>
        </w:trPr>
        <w:tc>
          <w:tcPr>
            <w:tcW w:w="7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039FC"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2</w:t>
            </w:r>
          </w:p>
        </w:tc>
        <w:tc>
          <w:tcPr>
            <w:tcW w:w="2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D4BB8"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rPr>
                <w:rFonts w:ascii="Calibri" w:eastAsia="Calibri" w:hAnsi="Calibri" w:cs="Calibri"/>
                <w:color w:val="000000"/>
              </w:rPr>
            </w:pPr>
            <w:r>
              <w:rPr>
                <w:rFonts w:ascii="Calibri" w:eastAsia="Calibri" w:hAnsi="Calibri" w:cs="Calibri"/>
                <w:color w:val="000000"/>
              </w:rPr>
              <w:t>Suisun Marsh</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E9D26"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F8356"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22</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E4D7E"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F86AE"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EABFC"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8B62A"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107,367</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15E5E"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E38AF"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NA</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140DA"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NA</w:t>
            </w:r>
          </w:p>
        </w:tc>
      </w:tr>
      <w:tr w:rsidR="00B53A5C" w14:paraId="21307009" w14:textId="77777777">
        <w:trPr>
          <w:jc w:val="center"/>
        </w:trPr>
        <w:tc>
          <w:tcPr>
            <w:tcW w:w="7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A3334"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2</w:t>
            </w:r>
          </w:p>
        </w:tc>
        <w:tc>
          <w:tcPr>
            <w:tcW w:w="2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B317F"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rPr>
                <w:rFonts w:ascii="Calibri" w:eastAsia="Calibri" w:hAnsi="Calibri" w:cs="Calibri"/>
                <w:color w:val="000000"/>
              </w:rPr>
            </w:pPr>
            <w:r>
              <w:rPr>
                <w:rFonts w:ascii="Calibri" w:eastAsia="Calibri" w:hAnsi="Calibri" w:cs="Calibri"/>
                <w:color w:val="000000"/>
              </w:rPr>
              <w:t>Lower Sacramento</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6CCA6"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3</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5CB47"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12</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44DDE"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C06C8"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CE4EB"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70967"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53,079</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0874A"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2F7AE"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NA</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480DC"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NA</w:t>
            </w:r>
          </w:p>
        </w:tc>
      </w:tr>
      <w:tr w:rsidR="00B53A5C" w14:paraId="597EB45E" w14:textId="77777777">
        <w:trPr>
          <w:jc w:val="center"/>
        </w:trPr>
        <w:tc>
          <w:tcPr>
            <w:tcW w:w="7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6C343"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2</w:t>
            </w:r>
          </w:p>
        </w:tc>
        <w:tc>
          <w:tcPr>
            <w:tcW w:w="2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DD1CE"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rPr>
                <w:rFonts w:ascii="Calibri" w:eastAsia="Calibri" w:hAnsi="Calibri" w:cs="Calibri"/>
                <w:color w:val="000000"/>
              </w:rPr>
            </w:pPr>
            <w:r>
              <w:rPr>
                <w:rFonts w:ascii="Calibri" w:eastAsia="Calibri" w:hAnsi="Calibri" w:cs="Calibri"/>
                <w:color w:val="000000"/>
              </w:rPr>
              <w:t>Cache Slough LI</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6BE53"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5</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064FA"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20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E70CF"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A9290"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569B0"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47ACD"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64,668</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7D9AC"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67519"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NA</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72336"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NA</w:t>
            </w:r>
          </w:p>
        </w:tc>
      </w:tr>
      <w:tr w:rsidR="00B53A5C" w14:paraId="7C385A2E" w14:textId="77777777">
        <w:trPr>
          <w:jc w:val="center"/>
        </w:trPr>
        <w:tc>
          <w:tcPr>
            <w:tcW w:w="7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A6D9C"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2</w:t>
            </w:r>
          </w:p>
        </w:tc>
        <w:tc>
          <w:tcPr>
            <w:tcW w:w="2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BF65B"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rPr>
                <w:rFonts w:ascii="Calibri" w:eastAsia="Calibri" w:hAnsi="Calibri" w:cs="Calibri"/>
                <w:color w:val="000000"/>
              </w:rPr>
            </w:pPr>
            <w:r>
              <w:rPr>
                <w:rFonts w:ascii="Calibri" w:eastAsia="Calibri" w:hAnsi="Calibri" w:cs="Calibri"/>
                <w:color w:val="000000"/>
              </w:rPr>
              <w:t>Sac DW Ship Channel</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6BE1F"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8ACE4"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24</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D6371"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CE43C"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C80C7"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527DC"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89,304</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70D64"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9B9E0"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NA</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CACA7"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NA</w:t>
            </w:r>
          </w:p>
        </w:tc>
      </w:tr>
      <w:tr w:rsidR="00B53A5C" w14:paraId="2A02238F" w14:textId="77777777">
        <w:trPr>
          <w:jc w:val="center"/>
        </w:trPr>
        <w:tc>
          <w:tcPr>
            <w:tcW w:w="7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89CE9"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2</w:t>
            </w:r>
          </w:p>
        </w:tc>
        <w:tc>
          <w:tcPr>
            <w:tcW w:w="2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85669"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rPr>
                <w:rFonts w:ascii="Calibri" w:eastAsia="Calibri" w:hAnsi="Calibri" w:cs="Calibri"/>
                <w:color w:val="000000"/>
              </w:rPr>
            </w:pPr>
            <w:r>
              <w:rPr>
                <w:rFonts w:ascii="Calibri" w:eastAsia="Calibri" w:hAnsi="Calibri" w:cs="Calibri"/>
                <w:color w:val="000000"/>
              </w:rPr>
              <w:t>Lower San Joaquin</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7C3BA"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C7848"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24</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F4775"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54385"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C345C"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18E9C"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102,125</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89A57"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5C0C5"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NA</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0EBC8"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NA</w:t>
            </w:r>
          </w:p>
        </w:tc>
      </w:tr>
      <w:tr w:rsidR="00B53A5C" w14:paraId="20B275BC" w14:textId="77777777">
        <w:trPr>
          <w:jc w:val="center"/>
        </w:trPr>
        <w:tc>
          <w:tcPr>
            <w:tcW w:w="7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AFEDD"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2</w:t>
            </w:r>
          </w:p>
        </w:tc>
        <w:tc>
          <w:tcPr>
            <w:tcW w:w="2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03CED"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rPr>
                <w:rFonts w:ascii="Calibri" w:eastAsia="Calibri" w:hAnsi="Calibri" w:cs="Calibri"/>
                <w:color w:val="000000"/>
              </w:rPr>
            </w:pPr>
            <w:r>
              <w:rPr>
                <w:rFonts w:ascii="Calibri" w:eastAsia="Calibri" w:hAnsi="Calibri" w:cs="Calibri"/>
                <w:color w:val="000000"/>
              </w:rPr>
              <w:t>All Strata</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E255E"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28</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C55BF"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110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26EFC"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870EC"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0CA21"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716E7"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457,500</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65742"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E79C8"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NA</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2E2C5"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NA</w:t>
            </w:r>
          </w:p>
        </w:tc>
      </w:tr>
      <w:tr w:rsidR="00B53A5C" w14:paraId="75829829" w14:textId="77777777">
        <w:trPr>
          <w:jc w:val="center"/>
        </w:trPr>
        <w:tc>
          <w:tcPr>
            <w:tcW w:w="7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B82C9"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3</w:t>
            </w:r>
          </w:p>
        </w:tc>
        <w:tc>
          <w:tcPr>
            <w:tcW w:w="2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562E3"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rPr>
                <w:rFonts w:ascii="Calibri" w:eastAsia="Calibri" w:hAnsi="Calibri" w:cs="Calibri"/>
                <w:color w:val="000000"/>
              </w:rPr>
            </w:pPr>
            <w:r>
              <w:rPr>
                <w:rFonts w:ascii="Calibri" w:eastAsia="Calibri" w:hAnsi="Calibri" w:cs="Calibri"/>
                <w:color w:val="000000"/>
              </w:rPr>
              <w:t>Suisun Bay</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F80B2"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90B85"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22</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BEBDF"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49BE9"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E0194"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F4CA1"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128,403</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B895E"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19C90"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NA</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009BE"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NA</w:t>
            </w:r>
          </w:p>
        </w:tc>
      </w:tr>
      <w:tr w:rsidR="00B53A5C" w14:paraId="11C9ED21" w14:textId="77777777">
        <w:trPr>
          <w:jc w:val="center"/>
        </w:trPr>
        <w:tc>
          <w:tcPr>
            <w:tcW w:w="7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44A71"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3</w:t>
            </w:r>
          </w:p>
        </w:tc>
        <w:tc>
          <w:tcPr>
            <w:tcW w:w="2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89A1B"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rPr>
                <w:rFonts w:ascii="Calibri" w:eastAsia="Calibri" w:hAnsi="Calibri" w:cs="Calibri"/>
                <w:color w:val="000000"/>
              </w:rPr>
            </w:pPr>
            <w:r>
              <w:rPr>
                <w:rFonts w:ascii="Calibri" w:eastAsia="Calibri" w:hAnsi="Calibri" w:cs="Calibri"/>
                <w:color w:val="000000"/>
              </w:rPr>
              <w:t>Suisun Marsh</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CDB78"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C6662"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22</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084A3"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1</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D1C2F"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F0F0A"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0D5E9"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115,314</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B3F55"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881</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98B19"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95</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A3B83"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3,507</w:t>
            </w:r>
          </w:p>
        </w:tc>
      </w:tr>
      <w:tr w:rsidR="00B53A5C" w14:paraId="03CC87F9" w14:textId="77777777">
        <w:trPr>
          <w:jc w:val="center"/>
        </w:trPr>
        <w:tc>
          <w:tcPr>
            <w:tcW w:w="7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ACAFB"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3</w:t>
            </w:r>
          </w:p>
        </w:tc>
        <w:tc>
          <w:tcPr>
            <w:tcW w:w="2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9B74D"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rPr>
                <w:rFonts w:ascii="Calibri" w:eastAsia="Calibri" w:hAnsi="Calibri" w:cs="Calibri"/>
                <w:color w:val="000000"/>
              </w:rPr>
            </w:pPr>
            <w:r>
              <w:rPr>
                <w:rFonts w:ascii="Calibri" w:eastAsia="Calibri" w:hAnsi="Calibri" w:cs="Calibri"/>
                <w:color w:val="000000"/>
              </w:rPr>
              <w:t>Lower Sacramento</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A070C"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D3DCA"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24</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82D7A"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5528D"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CABAA"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25454"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90,774</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9DD81"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3772E"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NA</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FE6F7"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NA</w:t>
            </w:r>
          </w:p>
        </w:tc>
      </w:tr>
      <w:tr w:rsidR="00B53A5C" w14:paraId="3EF10505" w14:textId="77777777">
        <w:trPr>
          <w:jc w:val="center"/>
        </w:trPr>
        <w:tc>
          <w:tcPr>
            <w:tcW w:w="7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900B2"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3</w:t>
            </w:r>
          </w:p>
        </w:tc>
        <w:tc>
          <w:tcPr>
            <w:tcW w:w="2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C9112"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rPr>
                <w:rFonts w:ascii="Calibri" w:eastAsia="Calibri" w:hAnsi="Calibri" w:cs="Calibri"/>
                <w:color w:val="000000"/>
              </w:rPr>
            </w:pPr>
            <w:r>
              <w:rPr>
                <w:rFonts w:ascii="Calibri" w:eastAsia="Calibri" w:hAnsi="Calibri" w:cs="Calibri"/>
                <w:color w:val="000000"/>
              </w:rPr>
              <w:t>Cache Slough LI</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6224E"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EB7BE"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20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BD0B6"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2AF8C"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54C5A"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EDEE8"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70,280</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A2553"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6C015"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NA</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3EB27"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NA</w:t>
            </w:r>
          </w:p>
        </w:tc>
      </w:tr>
      <w:tr w:rsidR="00B53A5C" w14:paraId="056F5EA3" w14:textId="77777777">
        <w:trPr>
          <w:jc w:val="center"/>
        </w:trPr>
        <w:tc>
          <w:tcPr>
            <w:tcW w:w="7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A6017"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3</w:t>
            </w:r>
          </w:p>
        </w:tc>
        <w:tc>
          <w:tcPr>
            <w:tcW w:w="2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532F1"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rPr>
                <w:rFonts w:ascii="Calibri" w:eastAsia="Calibri" w:hAnsi="Calibri" w:cs="Calibri"/>
                <w:color w:val="000000"/>
              </w:rPr>
            </w:pPr>
            <w:r>
              <w:rPr>
                <w:rFonts w:ascii="Calibri" w:eastAsia="Calibri" w:hAnsi="Calibri" w:cs="Calibri"/>
                <w:color w:val="000000"/>
              </w:rPr>
              <w:t>Sac DW Ship Channel</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00032"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4644B"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22</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85AE6"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4189A"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086EA"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496F9"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72,252</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0B1BC"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F6CFC"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NA</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4EAC6"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NA</w:t>
            </w:r>
          </w:p>
        </w:tc>
      </w:tr>
      <w:tr w:rsidR="00B53A5C" w14:paraId="4D5E6AB8" w14:textId="77777777">
        <w:trPr>
          <w:jc w:val="center"/>
        </w:trPr>
        <w:tc>
          <w:tcPr>
            <w:tcW w:w="7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E493E"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3</w:t>
            </w:r>
          </w:p>
        </w:tc>
        <w:tc>
          <w:tcPr>
            <w:tcW w:w="2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C8194"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rPr>
                <w:rFonts w:ascii="Calibri" w:eastAsia="Calibri" w:hAnsi="Calibri" w:cs="Calibri"/>
                <w:color w:val="000000"/>
              </w:rPr>
            </w:pPr>
            <w:r>
              <w:rPr>
                <w:rFonts w:ascii="Calibri" w:eastAsia="Calibri" w:hAnsi="Calibri" w:cs="Calibri"/>
                <w:color w:val="000000"/>
              </w:rPr>
              <w:t>Lower San Joaquin</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3CB22"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6</w:t>
            </w:r>
          </w:p>
        </w:tc>
        <w:tc>
          <w:tcPr>
            <w:tcW w:w="8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48BF4"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24</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9D6BF"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045AF"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E44C9"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10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19050"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90,106</w:t>
            </w:r>
          </w:p>
        </w:tc>
        <w:tc>
          <w:tcPr>
            <w:tcW w:w="12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A16DE"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C1944"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NA</w:t>
            </w:r>
          </w:p>
        </w:tc>
        <w:tc>
          <w:tcPr>
            <w:tcW w:w="9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21EA4"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NA</w:t>
            </w:r>
          </w:p>
        </w:tc>
      </w:tr>
      <w:tr w:rsidR="00B53A5C" w14:paraId="2902D1DB" w14:textId="77777777">
        <w:trPr>
          <w:jc w:val="center"/>
        </w:trPr>
        <w:tc>
          <w:tcPr>
            <w:tcW w:w="7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30F953"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3</w:t>
            </w:r>
          </w:p>
        </w:tc>
        <w:tc>
          <w:tcPr>
            <w:tcW w:w="20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D9AEE3"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rPr>
                <w:rFonts w:ascii="Calibri" w:eastAsia="Calibri" w:hAnsi="Calibri" w:cs="Calibri"/>
                <w:color w:val="000000"/>
              </w:rPr>
            </w:pPr>
            <w:r>
              <w:rPr>
                <w:rFonts w:ascii="Calibri" w:eastAsia="Calibri" w:hAnsi="Calibri" w:cs="Calibri"/>
                <w:color w:val="000000"/>
              </w:rPr>
              <w:t>All Strata</w:t>
            </w:r>
          </w:p>
        </w:tc>
        <w:tc>
          <w:tcPr>
            <w:tcW w:w="86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16E3C0"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36</w:t>
            </w:r>
          </w:p>
        </w:tc>
        <w:tc>
          <w:tcPr>
            <w:tcW w:w="86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2C19CF"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134</w:t>
            </w:r>
          </w:p>
        </w:tc>
        <w:tc>
          <w:tcPr>
            <w:tcW w:w="10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E70AF8"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1</w:t>
            </w:r>
          </w:p>
        </w:tc>
        <w:tc>
          <w:tcPr>
            <w:tcW w:w="9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9C8DCD"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9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F8FD23"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0</w:t>
            </w:r>
          </w:p>
        </w:tc>
        <w:tc>
          <w:tcPr>
            <w:tcW w:w="10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1417BC"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567,129</w:t>
            </w:r>
          </w:p>
        </w:tc>
        <w:tc>
          <w:tcPr>
            <w:tcW w:w="12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DF4FFB"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881</w:t>
            </w:r>
          </w:p>
        </w:tc>
        <w:tc>
          <w:tcPr>
            <w:tcW w:w="9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0C0B00"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95</w:t>
            </w:r>
          </w:p>
        </w:tc>
        <w:tc>
          <w:tcPr>
            <w:tcW w:w="9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0EEF66"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3,507</w:t>
            </w:r>
          </w:p>
        </w:tc>
      </w:tr>
    </w:tbl>
    <w:p w14:paraId="6C398211" w14:textId="77777777" w:rsidR="00B53A5C" w:rsidRDefault="00000000">
      <w:pPr>
        <w:pStyle w:val="TableCaption"/>
      </w:pPr>
      <w:r>
        <w:br/>
        <w:t xml:space="preserve"> </w:t>
      </w:r>
      <w:r>
        <w:br/>
        <w:t xml:space="preserve"> Table 2: Week numbers and corresponding dates used in Table 1.</w:t>
      </w:r>
    </w:p>
    <w:tbl>
      <w:tblPr>
        <w:tblW w:w="0" w:type="auto"/>
        <w:jc w:val="center"/>
        <w:tblLayout w:type="fixed"/>
        <w:tblLook w:val="0420" w:firstRow="1" w:lastRow="0" w:firstColumn="0" w:lastColumn="0" w:noHBand="0" w:noVBand="1"/>
        <w:tblCaption w:val="Week number definitions"/>
        <w:tblDescription w:val="This table presents the dates that correspond to each week number used in Table 1."/>
      </w:tblPr>
      <w:tblGrid>
        <w:gridCol w:w="1080"/>
        <w:gridCol w:w="3600"/>
      </w:tblGrid>
      <w:tr w:rsidR="00B53A5C" w14:paraId="7F99893D" w14:textId="77777777">
        <w:trPr>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53FB943"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Arial" w:eastAsia="Arial" w:hAnsi="Arial" w:cs="Arial"/>
                <w:b/>
                <w:color w:val="000000"/>
              </w:rPr>
            </w:pPr>
            <w:r>
              <w:rPr>
                <w:rFonts w:ascii="Arial" w:eastAsia="Arial" w:hAnsi="Arial" w:cs="Arial"/>
                <w:b/>
                <w:color w:val="000000"/>
              </w:rPr>
              <w:t>Week</w:t>
            </w:r>
          </w:p>
        </w:tc>
        <w:tc>
          <w:tcPr>
            <w:tcW w:w="360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28B33F8B"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rPr>
                <w:rFonts w:ascii="Arial" w:eastAsia="Arial" w:hAnsi="Arial" w:cs="Arial"/>
                <w:b/>
                <w:color w:val="000000"/>
              </w:rPr>
            </w:pPr>
            <w:r>
              <w:rPr>
                <w:rFonts w:ascii="Arial" w:eastAsia="Arial" w:hAnsi="Arial" w:cs="Arial"/>
                <w:b/>
                <w:color w:val="000000"/>
              </w:rPr>
              <w:t>Dates</w:t>
            </w:r>
          </w:p>
        </w:tc>
      </w:tr>
      <w:tr w:rsidR="00B53A5C" w14:paraId="3B6E2C1F" w14:textId="77777777">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2EFE2"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1</w:t>
            </w:r>
          </w:p>
        </w:tc>
        <w:tc>
          <w:tcPr>
            <w:tcW w:w="360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97B5A"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rPr>
                <w:rFonts w:ascii="Calibri" w:eastAsia="Calibri" w:hAnsi="Calibri" w:cs="Calibri"/>
                <w:color w:val="000000"/>
              </w:rPr>
            </w:pPr>
            <w:r>
              <w:rPr>
                <w:rFonts w:ascii="Calibri" w:eastAsia="Calibri" w:hAnsi="Calibri" w:cs="Calibri"/>
                <w:color w:val="000000"/>
              </w:rPr>
              <w:t>June 2–6, 2025</w:t>
            </w:r>
          </w:p>
        </w:tc>
      </w:tr>
      <w:tr w:rsidR="00B53A5C" w14:paraId="6EA38B7B" w14:textId="77777777">
        <w:trPr>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F87FE"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2</w:t>
            </w:r>
          </w:p>
        </w:tc>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0CFDF"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rPr>
                <w:rFonts w:ascii="Calibri" w:eastAsia="Calibri" w:hAnsi="Calibri" w:cs="Calibri"/>
                <w:color w:val="000000"/>
              </w:rPr>
            </w:pPr>
            <w:r>
              <w:rPr>
                <w:rFonts w:ascii="Calibri" w:eastAsia="Calibri" w:hAnsi="Calibri" w:cs="Calibri"/>
                <w:color w:val="000000"/>
              </w:rPr>
              <w:t>June 9–13, 2025</w:t>
            </w:r>
          </w:p>
        </w:tc>
      </w:tr>
      <w:tr w:rsidR="00B53A5C" w14:paraId="15C8F7FC" w14:textId="77777777">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2AD5FD"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center"/>
              <w:rPr>
                <w:rFonts w:ascii="Calibri" w:eastAsia="Calibri" w:hAnsi="Calibri" w:cs="Calibri"/>
                <w:color w:val="000000"/>
              </w:rPr>
            </w:pPr>
            <w:r>
              <w:rPr>
                <w:rFonts w:ascii="Calibri" w:eastAsia="Calibri" w:hAnsi="Calibri" w:cs="Calibri"/>
                <w:color w:val="000000"/>
              </w:rPr>
              <w:t>3</w:t>
            </w:r>
          </w:p>
        </w:tc>
        <w:tc>
          <w:tcPr>
            <w:tcW w:w="36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5FF864"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rPr>
                <w:rFonts w:ascii="Calibri" w:eastAsia="Calibri" w:hAnsi="Calibri" w:cs="Calibri"/>
                <w:color w:val="000000"/>
              </w:rPr>
            </w:pPr>
            <w:r>
              <w:rPr>
                <w:rFonts w:ascii="Calibri" w:eastAsia="Calibri" w:hAnsi="Calibri" w:cs="Calibri"/>
                <w:color w:val="000000"/>
              </w:rPr>
              <w:t>June 16–20, 2025</w:t>
            </w:r>
          </w:p>
        </w:tc>
      </w:tr>
    </w:tbl>
    <w:p w14:paraId="59DE4880" w14:textId="77777777" w:rsidR="00B53A5C" w:rsidRDefault="00000000">
      <w:r>
        <w:br w:type="page"/>
      </w:r>
    </w:p>
    <w:p w14:paraId="3F903B0E" w14:textId="77777777" w:rsidR="00B53A5C" w:rsidRDefault="00000000">
      <w:pPr>
        <w:jc w:val="center"/>
      </w:pPr>
      <w:r>
        <w:rPr>
          <w:noProof/>
        </w:rPr>
        <w:lastRenderedPageBreak/>
        <w:drawing>
          <wp:inline distT="0" distB="0" distL="0" distR="0" wp14:anchorId="65D5955B" wp14:editId="4DCFA22B">
            <wp:extent cx="6583680" cy="2743200"/>
            <wp:effectExtent l="0" t="0" r="0" b="0"/>
            <wp:docPr id="1" name="Picture 1" descr="This figure shows abundance indices from Table 1 in graph form. Point estimates and confidence intervals are represented on the y-axis. Week number is represented on the x-axis. For a given week, indices from the different strata are presented side-by-side, distinguished by color and shape." title="Graph of abundance indices from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6" cstate="print"/>
                    <a:stretch>
                      <a:fillRect/>
                    </a:stretch>
                  </pic:blipFill>
                  <pic:spPr bwMode="auto">
                    <a:xfrm>
                      <a:off x="0" y="0"/>
                      <a:ext cx="91440" cy="38100"/>
                    </a:xfrm>
                    <a:prstGeom prst="rect">
                      <a:avLst/>
                    </a:prstGeom>
                    <a:noFill/>
                  </pic:spPr>
                </pic:pic>
              </a:graphicData>
            </a:graphic>
          </wp:inline>
        </w:drawing>
      </w:r>
    </w:p>
    <w:bookmarkStart w:id="0" w:name="unnamed-chunk-7"/>
    <w:p w14:paraId="1B3658C9" w14:textId="77777777" w:rsidR="00B53A5C" w:rsidRDefault="00000000">
      <w:pPr>
        <w:pStyle w:val="ImageCaption"/>
      </w:pPr>
      <w:r>
        <w:rPr>
          <w:b/>
        </w:rPr>
        <w:fldChar w:fldCharType="begin"/>
      </w:r>
      <w:r>
        <w:rPr>
          <w:b/>
        </w:rPr>
        <w:instrText>SEQ fig \* Arabic</w:instrText>
      </w:r>
      <w:r>
        <w:rPr>
          <w:b/>
        </w:rPr>
        <w:fldChar w:fldCharType="end"/>
      </w:r>
      <w:bookmarkEnd w:id="0"/>
      <w:r>
        <w:t>Figure 1: Delta Smelt abundance indices and 95% confidence intervals by week and stratum.</w:t>
      </w:r>
    </w:p>
    <w:p w14:paraId="0EF8E28D" w14:textId="77777777" w:rsidR="00B53A5C" w:rsidRDefault="00000000">
      <w:r>
        <w:br w:type="page"/>
      </w:r>
    </w:p>
    <w:p w14:paraId="7D17F24B" w14:textId="77777777" w:rsidR="00B53A5C" w:rsidRDefault="00000000">
      <w:pPr>
        <w:jc w:val="center"/>
      </w:pPr>
      <w:r>
        <w:rPr>
          <w:noProof/>
        </w:rPr>
        <w:lastRenderedPageBreak/>
        <w:drawing>
          <wp:inline distT="0" distB="0" distL="0" distR="0" wp14:anchorId="318D2ADB" wp14:editId="0FB1E83B">
            <wp:extent cx="6126480" cy="4114800"/>
            <wp:effectExtent l="0" t="0" r="0" b="0"/>
            <wp:docPr id="3" name="Picture 3" descr="This figure shows a map of the San Francisco Estuary and EDSM's geographic strata boundaries. Symbols indicate where sampling occurred in a given week and the total number of Delta Smelt caught at a given sampling site." title="Map of sampling sites and total Delta Smelt ca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7" cstate="print"/>
                    <a:stretch>
                      <a:fillRect/>
                    </a:stretch>
                  </pic:blipFill>
                  <pic:spPr bwMode="auto">
                    <a:xfrm>
                      <a:off x="0" y="0"/>
                      <a:ext cx="85090" cy="57150"/>
                    </a:xfrm>
                    <a:prstGeom prst="rect">
                      <a:avLst/>
                    </a:prstGeom>
                    <a:noFill/>
                  </pic:spPr>
                </pic:pic>
              </a:graphicData>
            </a:graphic>
          </wp:inline>
        </w:drawing>
      </w:r>
    </w:p>
    <w:bookmarkStart w:id="1" w:name="unnamed-chunk-10"/>
    <w:p w14:paraId="1AB7147F" w14:textId="77777777" w:rsidR="00B53A5C" w:rsidRDefault="00000000">
      <w:pPr>
        <w:pStyle w:val="ImageCaption"/>
      </w:pPr>
      <w:r>
        <w:rPr>
          <w:b/>
        </w:rPr>
        <w:fldChar w:fldCharType="begin"/>
      </w:r>
      <w:r>
        <w:rPr>
          <w:b/>
        </w:rPr>
        <w:instrText>SEQ fig \* Arabic</w:instrText>
      </w:r>
      <w:r>
        <w:rPr>
          <w:b/>
        </w:rPr>
        <w:fldChar w:fldCharType="end"/>
      </w:r>
      <w:bookmarkEnd w:id="1"/>
      <w:r>
        <w:t>Figure 2: Map of total Delta Smelt catch by site in week 1.</w:t>
      </w:r>
    </w:p>
    <w:p w14:paraId="7C99F951" w14:textId="77777777" w:rsidR="00B53A5C" w:rsidRDefault="00000000">
      <w:pPr>
        <w:jc w:val="center"/>
      </w:pPr>
      <w:r>
        <w:rPr>
          <w:noProof/>
        </w:rPr>
        <w:drawing>
          <wp:inline distT="0" distB="0" distL="0" distR="0" wp14:anchorId="3726DCA7" wp14:editId="68EBB580">
            <wp:extent cx="6126480" cy="4114800"/>
            <wp:effectExtent l="0" t="0" r="0" b="0"/>
            <wp:docPr id="5" name="Picture 5" descr="This figure shows a map of the San Francisco Estuary and EDSM's geographic strata boundaries. Symbols indicate where sampling occurred in a given week and the total number of Delta Smelt caught at a given sampling site." title="Map of sampling sites and total Delta Smelt ca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8" cstate="print"/>
                    <a:stretch>
                      <a:fillRect/>
                    </a:stretch>
                  </pic:blipFill>
                  <pic:spPr bwMode="auto">
                    <a:xfrm>
                      <a:off x="0" y="0"/>
                      <a:ext cx="85090" cy="57150"/>
                    </a:xfrm>
                    <a:prstGeom prst="rect">
                      <a:avLst/>
                    </a:prstGeom>
                    <a:noFill/>
                  </pic:spPr>
                </pic:pic>
              </a:graphicData>
            </a:graphic>
          </wp:inline>
        </w:drawing>
      </w:r>
    </w:p>
    <w:bookmarkStart w:id="2" w:name="unnamed-chunk-11"/>
    <w:p w14:paraId="39FE8692" w14:textId="77777777" w:rsidR="00B53A5C" w:rsidRDefault="00000000">
      <w:pPr>
        <w:pStyle w:val="ImageCaption"/>
      </w:pPr>
      <w:r>
        <w:rPr>
          <w:b/>
        </w:rPr>
        <w:fldChar w:fldCharType="begin"/>
      </w:r>
      <w:r>
        <w:rPr>
          <w:b/>
        </w:rPr>
        <w:instrText>SEQ fig \* Arabic</w:instrText>
      </w:r>
      <w:r>
        <w:rPr>
          <w:b/>
        </w:rPr>
        <w:fldChar w:fldCharType="end"/>
      </w:r>
      <w:bookmarkEnd w:id="2"/>
      <w:r>
        <w:t>Figure 3: Map of total Delta Smelt catch by site in week 2.</w:t>
      </w:r>
    </w:p>
    <w:p w14:paraId="747D697A" w14:textId="77777777" w:rsidR="00B53A5C" w:rsidRDefault="00000000">
      <w:pPr>
        <w:jc w:val="center"/>
      </w:pPr>
      <w:r>
        <w:rPr>
          <w:noProof/>
        </w:rPr>
        <w:lastRenderedPageBreak/>
        <w:drawing>
          <wp:inline distT="0" distB="0" distL="0" distR="0" wp14:anchorId="359EF09A" wp14:editId="2D811C83">
            <wp:extent cx="6126480" cy="4114800"/>
            <wp:effectExtent l="0" t="0" r="0" b="0"/>
            <wp:docPr id="7" name="Picture 7" descr="This figure shows a map of the San Francisco Estuary and EDSM's geographic strata boundaries. Symbols indicate where sampling occurred in a given week and the total number of Delta Smelt caught at a given sampling site." title="Map of sampling sites and total Delta Smelt ca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9" cstate="print"/>
                    <a:stretch>
                      <a:fillRect/>
                    </a:stretch>
                  </pic:blipFill>
                  <pic:spPr bwMode="auto">
                    <a:xfrm>
                      <a:off x="0" y="0"/>
                      <a:ext cx="85090" cy="57150"/>
                    </a:xfrm>
                    <a:prstGeom prst="rect">
                      <a:avLst/>
                    </a:prstGeom>
                    <a:noFill/>
                  </pic:spPr>
                </pic:pic>
              </a:graphicData>
            </a:graphic>
          </wp:inline>
        </w:drawing>
      </w:r>
    </w:p>
    <w:bookmarkStart w:id="3" w:name="unnamed-chunk-12"/>
    <w:p w14:paraId="0A445061" w14:textId="77777777" w:rsidR="00B53A5C" w:rsidRDefault="00000000">
      <w:pPr>
        <w:pStyle w:val="ImageCaption"/>
      </w:pPr>
      <w:r>
        <w:rPr>
          <w:b/>
        </w:rPr>
        <w:fldChar w:fldCharType="begin"/>
      </w:r>
      <w:r>
        <w:rPr>
          <w:b/>
        </w:rPr>
        <w:instrText>SEQ fig \* Arabic</w:instrText>
      </w:r>
      <w:r>
        <w:rPr>
          <w:b/>
        </w:rPr>
        <w:fldChar w:fldCharType="end"/>
      </w:r>
      <w:bookmarkEnd w:id="3"/>
      <w:r>
        <w:t>Figure 4: Map of total Delta Smelt catch by site in week 3.</w:t>
      </w:r>
    </w:p>
    <w:p w14:paraId="79CC51CE" w14:textId="77777777" w:rsidR="00B53A5C" w:rsidRDefault="00000000">
      <w:pPr>
        <w:jc w:val="center"/>
      </w:pPr>
      <w:r>
        <w:rPr>
          <w:noProof/>
        </w:rPr>
        <w:lastRenderedPageBreak/>
        <w:drawing>
          <wp:inline distT="0" distB="0" distL="0" distR="0" wp14:anchorId="4D2F9BE4" wp14:editId="367C4C8D">
            <wp:extent cx="6400800" cy="4572000"/>
            <wp:effectExtent l="0" t="0" r="0" b="0"/>
            <wp:docPr id="9" name="Picture 9" descr="This figure shows a map of the San Francisco Estuary and EDSM's geographic strata boundaries. Symbols indicate where sampling has occurred across all weeks represented in this report." title="Map of all sampling sites in this phase up to the current report 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0" cstate="print"/>
                    <a:stretch>
                      <a:fillRect/>
                    </a:stretch>
                  </pic:blipFill>
                  <pic:spPr bwMode="auto">
                    <a:xfrm>
                      <a:off x="0" y="0"/>
                      <a:ext cx="88900" cy="63500"/>
                    </a:xfrm>
                    <a:prstGeom prst="rect">
                      <a:avLst/>
                    </a:prstGeom>
                    <a:noFill/>
                  </pic:spPr>
                </pic:pic>
              </a:graphicData>
            </a:graphic>
          </wp:inline>
        </w:drawing>
      </w:r>
    </w:p>
    <w:bookmarkStart w:id="4" w:name="unnamed-chunk-28"/>
    <w:p w14:paraId="2E6B515C" w14:textId="77777777" w:rsidR="00B53A5C" w:rsidRDefault="00000000">
      <w:pPr>
        <w:pStyle w:val="ImageCaption"/>
      </w:pPr>
      <w:r>
        <w:rPr>
          <w:b/>
        </w:rPr>
        <w:fldChar w:fldCharType="begin"/>
      </w:r>
      <w:r>
        <w:rPr>
          <w:b/>
        </w:rPr>
        <w:instrText>SEQ fig \* Arabic</w:instrText>
      </w:r>
      <w:r>
        <w:rPr>
          <w:b/>
        </w:rPr>
        <w:fldChar w:fldCharType="end"/>
      </w:r>
      <w:bookmarkEnd w:id="4"/>
      <w:r>
        <w:t>Figure 5: Map of all sampling sites in this phase.</w:t>
      </w:r>
    </w:p>
    <w:p w14:paraId="661D0445" w14:textId="77777777" w:rsidR="00B53A5C" w:rsidRDefault="00000000">
      <w:pPr>
        <w:pStyle w:val="Heading1"/>
      </w:pPr>
      <w:r>
        <w:t>Habitat Volume Estimates</w:t>
      </w:r>
    </w:p>
    <w:p w14:paraId="0239C0B5" w14:textId="77777777" w:rsidR="00B53A5C" w:rsidRDefault="00000000">
      <w:pPr>
        <w:pStyle w:val="TableCaption"/>
      </w:pPr>
      <w:r>
        <w:t>Table 3: Estimates of water volume (cubic meters) between 0.5-m and 4.5-m depth, by stratum.</w:t>
      </w:r>
    </w:p>
    <w:tbl>
      <w:tblPr>
        <w:tblW w:w="0" w:type="auto"/>
        <w:jc w:val="center"/>
        <w:tblLayout w:type="fixed"/>
        <w:tblLook w:val="0420" w:firstRow="1" w:lastRow="0" w:firstColumn="0" w:lastColumn="0" w:noHBand="0" w:noVBand="1"/>
        <w:tblCaption w:val="Strata volume estimates"/>
        <w:tblDescription w:val="This table contains estimates of the volume of water (in cubic meters) between 0.5-m and 4.5-m depth, by stratum. These values are used to calculate abundance indices"/>
      </w:tblPr>
      <w:tblGrid>
        <w:gridCol w:w="2520"/>
        <w:gridCol w:w="1627"/>
      </w:tblGrid>
      <w:tr w:rsidR="00B53A5C" w14:paraId="7CF3066F" w14:textId="77777777">
        <w:trPr>
          <w:tblHeader/>
          <w:jc w:val="center"/>
        </w:trPr>
        <w:tc>
          <w:tcPr>
            <w:tcW w:w="252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7CA299F8"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rPr>
                <w:rFonts w:ascii="Arial" w:eastAsia="Arial" w:hAnsi="Arial" w:cs="Arial"/>
                <w:b/>
                <w:color w:val="000000"/>
              </w:rPr>
            </w:pPr>
            <w:r>
              <w:rPr>
                <w:rFonts w:ascii="Arial" w:eastAsia="Arial" w:hAnsi="Arial" w:cs="Arial"/>
                <w:b/>
                <w:color w:val="000000"/>
              </w:rPr>
              <w:t>Stratum</w:t>
            </w:r>
          </w:p>
        </w:tc>
        <w:tc>
          <w:tcPr>
            <w:tcW w:w="162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bottom"/>
          </w:tcPr>
          <w:p w14:paraId="04F9C479"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right"/>
              <w:rPr>
                <w:rFonts w:ascii="Arial" w:eastAsia="Arial" w:hAnsi="Arial" w:cs="Arial"/>
                <w:b/>
                <w:color w:val="000000"/>
              </w:rPr>
            </w:pPr>
            <w:r>
              <w:rPr>
                <w:rFonts w:ascii="Arial" w:eastAsia="Arial" w:hAnsi="Arial" w:cs="Arial"/>
                <w:b/>
                <w:color w:val="000000"/>
              </w:rPr>
              <w:t>Volume</w:t>
            </w:r>
          </w:p>
        </w:tc>
      </w:tr>
      <w:tr w:rsidR="00B53A5C" w14:paraId="1CE15A67" w14:textId="77777777">
        <w:trPr>
          <w:jc w:val="center"/>
        </w:trPr>
        <w:tc>
          <w:tcPr>
            <w:tcW w:w="252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ABE2C"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rPr>
                <w:rFonts w:ascii="Calibri" w:eastAsia="Calibri" w:hAnsi="Calibri" w:cs="Calibri"/>
                <w:color w:val="000000"/>
              </w:rPr>
            </w:pPr>
            <w:r>
              <w:rPr>
                <w:rFonts w:ascii="Calibri" w:eastAsia="Calibri" w:hAnsi="Calibri" w:cs="Calibri"/>
                <w:color w:val="000000"/>
              </w:rPr>
              <w:t>Suisun Bay</w:t>
            </w:r>
          </w:p>
        </w:tc>
        <w:tc>
          <w:tcPr>
            <w:tcW w:w="162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E5C8C"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right"/>
              <w:rPr>
                <w:rFonts w:ascii="Calibri" w:eastAsia="Calibri" w:hAnsi="Calibri" w:cs="Calibri"/>
                <w:color w:val="000000"/>
              </w:rPr>
            </w:pPr>
            <w:r>
              <w:rPr>
                <w:rFonts w:ascii="Calibri" w:eastAsia="Calibri" w:hAnsi="Calibri" w:cs="Calibri"/>
                <w:color w:val="000000"/>
              </w:rPr>
              <w:t>285,840,678</w:t>
            </w:r>
          </w:p>
        </w:tc>
      </w:tr>
      <w:tr w:rsidR="00B53A5C" w14:paraId="03E7CCA6" w14:textId="77777777">
        <w:trPr>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5D858"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rPr>
                <w:rFonts w:ascii="Calibri" w:eastAsia="Calibri" w:hAnsi="Calibri" w:cs="Calibri"/>
                <w:color w:val="000000"/>
              </w:rPr>
            </w:pPr>
            <w:r>
              <w:rPr>
                <w:rFonts w:ascii="Calibri" w:eastAsia="Calibri" w:hAnsi="Calibri" w:cs="Calibri"/>
                <w:color w:val="000000"/>
              </w:rPr>
              <w:t>Suisun Marsh</w:t>
            </w:r>
          </w:p>
        </w:tc>
        <w:tc>
          <w:tcPr>
            <w:tcW w:w="16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60EA"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right"/>
              <w:rPr>
                <w:rFonts w:ascii="Calibri" w:eastAsia="Calibri" w:hAnsi="Calibri" w:cs="Calibri"/>
                <w:color w:val="000000"/>
              </w:rPr>
            </w:pPr>
            <w:r>
              <w:rPr>
                <w:rFonts w:ascii="Calibri" w:eastAsia="Calibri" w:hAnsi="Calibri" w:cs="Calibri"/>
                <w:color w:val="000000"/>
              </w:rPr>
              <w:t>76,278,718</w:t>
            </w:r>
          </w:p>
        </w:tc>
      </w:tr>
      <w:tr w:rsidR="00B53A5C" w14:paraId="2C303EC8" w14:textId="77777777">
        <w:trPr>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2B566"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rPr>
                <w:rFonts w:ascii="Calibri" w:eastAsia="Calibri" w:hAnsi="Calibri" w:cs="Calibri"/>
                <w:color w:val="000000"/>
              </w:rPr>
            </w:pPr>
            <w:r>
              <w:rPr>
                <w:rFonts w:ascii="Calibri" w:eastAsia="Calibri" w:hAnsi="Calibri" w:cs="Calibri"/>
                <w:color w:val="000000"/>
              </w:rPr>
              <w:t>Lower Sacramento</w:t>
            </w:r>
          </w:p>
        </w:tc>
        <w:tc>
          <w:tcPr>
            <w:tcW w:w="16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5F3A0"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right"/>
              <w:rPr>
                <w:rFonts w:ascii="Calibri" w:eastAsia="Calibri" w:hAnsi="Calibri" w:cs="Calibri"/>
                <w:color w:val="000000"/>
              </w:rPr>
            </w:pPr>
            <w:r>
              <w:rPr>
                <w:rFonts w:ascii="Calibri" w:eastAsia="Calibri" w:hAnsi="Calibri" w:cs="Calibri"/>
                <w:color w:val="000000"/>
              </w:rPr>
              <w:t>88,162,170</w:t>
            </w:r>
          </w:p>
        </w:tc>
      </w:tr>
      <w:tr w:rsidR="00B53A5C" w14:paraId="2C87E53D" w14:textId="77777777">
        <w:trPr>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549A9"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rPr>
                <w:rFonts w:ascii="Calibri" w:eastAsia="Calibri" w:hAnsi="Calibri" w:cs="Calibri"/>
                <w:color w:val="000000"/>
              </w:rPr>
            </w:pPr>
            <w:r>
              <w:rPr>
                <w:rFonts w:ascii="Calibri" w:eastAsia="Calibri" w:hAnsi="Calibri" w:cs="Calibri"/>
                <w:color w:val="000000"/>
              </w:rPr>
              <w:t>Cache Slough LI</w:t>
            </w:r>
          </w:p>
        </w:tc>
        <w:tc>
          <w:tcPr>
            <w:tcW w:w="16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7AB6A"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right"/>
              <w:rPr>
                <w:rFonts w:ascii="Calibri" w:eastAsia="Calibri" w:hAnsi="Calibri" w:cs="Calibri"/>
                <w:color w:val="000000"/>
              </w:rPr>
            </w:pPr>
            <w:r>
              <w:rPr>
                <w:rFonts w:ascii="Calibri" w:eastAsia="Calibri" w:hAnsi="Calibri" w:cs="Calibri"/>
                <w:color w:val="000000"/>
              </w:rPr>
              <w:t>33,420,492</w:t>
            </w:r>
          </w:p>
        </w:tc>
      </w:tr>
      <w:tr w:rsidR="00B53A5C" w14:paraId="01E6672F" w14:textId="77777777">
        <w:trPr>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225EE"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rPr>
                <w:rFonts w:ascii="Calibri" w:eastAsia="Calibri" w:hAnsi="Calibri" w:cs="Calibri"/>
                <w:color w:val="000000"/>
              </w:rPr>
            </w:pPr>
            <w:r>
              <w:rPr>
                <w:rFonts w:ascii="Calibri" w:eastAsia="Calibri" w:hAnsi="Calibri" w:cs="Calibri"/>
                <w:color w:val="000000"/>
              </w:rPr>
              <w:t>Sac DW Ship Channel</w:t>
            </w:r>
          </w:p>
        </w:tc>
        <w:tc>
          <w:tcPr>
            <w:tcW w:w="16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61452"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right"/>
              <w:rPr>
                <w:rFonts w:ascii="Calibri" w:eastAsia="Calibri" w:hAnsi="Calibri" w:cs="Calibri"/>
                <w:color w:val="000000"/>
              </w:rPr>
            </w:pPr>
            <w:r>
              <w:rPr>
                <w:rFonts w:ascii="Calibri" w:eastAsia="Calibri" w:hAnsi="Calibri" w:cs="Calibri"/>
                <w:color w:val="000000"/>
              </w:rPr>
              <w:t>30,411,491</w:t>
            </w:r>
          </w:p>
        </w:tc>
      </w:tr>
      <w:tr w:rsidR="00B53A5C" w14:paraId="428C3F88" w14:textId="77777777">
        <w:trPr>
          <w:jc w:val="center"/>
        </w:trPr>
        <w:tc>
          <w:tcPr>
            <w:tcW w:w="25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111DEF"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rPr>
                <w:rFonts w:ascii="Calibri" w:eastAsia="Calibri" w:hAnsi="Calibri" w:cs="Calibri"/>
                <w:color w:val="000000"/>
              </w:rPr>
            </w:pPr>
            <w:r>
              <w:rPr>
                <w:rFonts w:ascii="Calibri" w:eastAsia="Calibri" w:hAnsi="Calibri" w:cs="Calibri"/>
                <w:color w:val="000000"/>
              </w:rPr>
              <w:t>Lower San Joaquin</w:t>
            </w:r>
          </w:p>
        </w:tc>
        <w:tc>
          <w:tcPr>
            <w:tcW w:w="16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B64BF1" w14:textId="77777777" w:rsidR="00B53A5C" w:rsidRDefault="00000000">
            <w:pPr>
              <w:pBdr>
                <w:top w:val="none" w:sz="0" w:space="0" w:color="000000"/>
                <w:left w:val="none" w:sz="0" w:space="0" w:color="000000"/>
                <w:bottom w:val="none" w:sz="0" w:space="0" w:color="000000"/>
                <w:right w:val="none" w:sz="0" w:space="0" w:color="000000"/>
              </w:pBdr>
              <w:spacing w:after="0" w:line="240" w:lineRule="auto"/>
              <w:jc w:val="right"/>
              <w:rPr>
                <w:rFonts w:ascii="Calibri" w:eastAsia="Calibri" w:hAnsi="Calibri" w:cs="Calibri"/>
                <w:color w:val="000000"/>
              </w:rPr>
            </w:pPr>
            <w:r>
              <w:rPr>
                <w:rFonts w:ascii="Calibri" w:eastAsia="Calibri" w:hAnsi="Calibri" w:cs="Calibri"/>
                <w:color w:val="000000"/>
              </w:rPr>
              <w:t>122,096,565</w:t>
            </w:r>
          </w:p>
        </w:tc>
      </w:tr>
    </w:tbl>
    <w:p w14:paraId="196E1C3A" w14:textId="77777777" w:rsidR="00B53A5C" w:rsidRDefault="00000000">
      <w:pPr>
        <w:pStyle w:val="Heading1"/>
      </w:pPr>
      <w:r>
        <w:t>References</w:t>
      </w:r>
    </w:p>
    <w:p w14:paraId="303D8C0D" w14:textId="77777777" w:rsidR="00B53A5C" w:rsidRDefault="00000000">
      <w:r>
        <w:t>Stevens D.L. and Olsen A.R. 2004. Spatially balanced sampling of natural resources. Journal of the American Statistical Association, 99(465):262–278.</w:t>
      </w:r>
    </w:p>
    <w:p w14:paraId="4432A44A" w14:textId="77777777" w:rsidR="00B53A5C" w:rsidRDefault="00000000">
      <w:r>
        <w:t xml:space="preserve">Mitchell L., Polansky L., Newman K.B. 2024. Stopping rule sampling to monitor and protect endangered species. Journal of Agricultural, Biological, and Environmental Statistics. </w:t>
      </w:r>
      <w:hyperlink r:id="rId11">
        <w:r>
          <w:t>https://doi.org/10.1007/s13253-024-00649-3</w:t>
        </w:r>
      </w:hyperlink>
    </w:p>
    <w:sectPr w:rsidR="00B53A5C" w:rsidSect="006029EA">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198F7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B5CA81B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384989717">
    <w:abstractNumId w:val="0"/>
  </w:num>
  <w:num w:numId="2" w16cid:durableId="14242570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A5C"/>
    <w:rsid w:val="00810F44"/>
    <w:rsid w:val="00B53A5C"/>
    <w:rsid w:val="00E80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7B2AD"/>
  <w15:docId w15:val="{706A4E93-498B-4A58-B741-C399B427E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08D"/>
    <w:pPr>
      <w:keepNext/>
      <w:keepLines/>
      <w:spacing w:before="240" w:after="0"/>
      <w:outlineLvl w:val="0"/>
    </w:pPr>
    <w:rPr>
      <w:rFonts w:ascii="Calibri" w:eastAsiaTheme="majorEastAsia" w:hAnsi="Calibr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218C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218C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218C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596B9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Pr/>
      <w:tcPr>
        <w:vAlign w:val="bottom"/>
      </w:tcPr>
    </w:tblStylePr>
  </w:style>
  <w:style w:type="character" w:customStyle="1" w:styleId="Heading1Char">
    <w:name w:val="Heading 1 Char"/>
    <w:basedOn w:val="DefaultParagraphFont"/>
    <w:link w:val="Heading1"/>
    <w:uiPriority w:val="9"/>
    <w:rsid w:val="00F0008D"/>
    <w:rPr>
      <w:rFonts w:ascii="Calibri" w:eastAsiaTheme="majorEastAsia" w:hAnsi="Calibri" w:cstheme="majorBidi"/>
      <w:color w:val="365F91" w:themeColor="accent1" w:themeShade="BF"/>
      <w:sz w:val="32"/>
      <w:szCs w:val="32"/>
    </w:rPr>
  </w:style>
  <w:style w:type="paragraph" w:styleId="Subtitle">
    <w:name w:val="Subtitle"/>
    <w:basedOn w:val="Normal"/>
    <w:next w:val="Normal"/>
    <w:link w:val="SubtitleChar"/>
    <w:uiPriority w:val="11"/>
    <w:qFormat/>
    <w:rsid w:val="0030579F"/>
    <w:pPr>
      <w:numPr>
        <w:ilvl w:val="1"/>
      </w:numPr>
      <w:spacing w:after="0" w:line="240" w:lineRule="auto"/>
      <w:jc w:val="center"/>
    </w:pPr>
    <w:rPr>
      <w:rFonts w:ascii="Calibri" w:eastAsiaTheme="minorEastAsia" w:hAnsi="Calibri"/>
      <w:color w:val="5A5A5A" w:themeColor="text1" w:themeTint="A5"/>
      <w:spacing w:val="15"/>
      <w:sz w:val="32"/>
    </w:rPr>
  </w:style>
  <w:style w:type="character" w:customStyle="1" w:styleId="SubtitleChar">
    <w:name w:val="Subtitle Char"/>
    <w:basedOn w:val="DefaultParagraphFont"/>
    <w:link w:val="Subtitle"/>
    <w:uiPriority w:val="11"/>
    <w:rsid w:val="0030579F"/>
    <w:rPr>
      <w:rFonts w:ascii="Calibri" w:eastAsiaTheme="minorEastAsia" w:hAnsi="Calibri"/>
      <w:color w:val="5A5A5A" w:themeColor="text1" w:themeTint="A5"/>
      <w:spacing w:val="15"/>
      <w:sz w:val="32"/>
    </w:rPr>
  </w:style>
  <w:style w:type="paragraph" w:styleId="Title">
    <w:name w:val="Title"/>
    <w:basedOn w:val="Normal"/>
    <w:next w:val="Normal"/>
    <w:link w:val="TitleChar"/>
    <w:uiPriority w:val="10"/>
    <w:qFormat/>
    <w:rsid w:val="0034662D"/>
    <w:pPr>
      <w:spacing w:after="0" w:line="240" w:lineRule="auto"/>
      <w:contextualSpacing/>
      <w:jc w:val="center"/>
    </w:pPr>
    <w:rPr>
      <w:rFonts w:ascii="Calibri" w:eastAsiaTheme="majorEastAsia" w:hAnsi="Calibri" w:cstheme="majorBidi"/>
      <w:spacing w:val="-10"/>
      <w:kern w:val="28"/>
      <w:sz w:val="56"/>
      <w:szCs w:val="56"/>
    </w:rPr>
  </w:style>
  <w:style w:type="character" w:customStyle="1" w:styleId="TitleChar">
    <w:name w:val="Title Char"/>
    <w:basedOn w:val="DefaultParagraphFont"/>
    <w:link w:val="Title"/>
    <w:uiPriority w:val="10"/>
    <w:rsid w:val="0034662D"/>
    <w:rPr>
      <w:rFonts w:ascii="Calibri" w:eastAsiaTheme="majorEastAsia" w:hAnsi="Calibri" w:cstheme="majorBidi"/>
      <w:spacing w:val="-10"/>
      <w:kern w:val="28"/>
      <w:sz w:val="56"/>
      <w:szCs w:val="56"/>
    </w:rPr>
  </w:style>
  <w:style w:type="character" w:styleId="SubtleEmphasis">
    <w:name w:val="Subtle Emphasis"/>
    <w:basedOn w:val="DefaultParagraphFont"/>
    <w:uiPriority w:val="19"/>
    <w:qFormat/>
    <w:rsid w:val="00A0267D"/>
    <w:rPr>
      <w:i/>
      <w:iCs/>
      <w:color w:val="404040" w:themeColor="text1" w:themeTint="BF"/>
    </w:rPr>
  </w:style>
  <w:style w:type="character" w:customStyle="1" w:styleId="Heading2Char">
    <w:name w:val="Heading 2 Char"/>
    <w:basedOn w:val="DefaultParagraphFont"/>
    <w:link w:val="Heading2"/>
    <w:uiPriority w:val="9"/>
    <w:rsid w:val="00D218C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218C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218C7"/>
    <w:rPr>
      <w:rFonts w:asciiTheme="majorHAnsi" w:eastAsiaTheme="majorEastAsia" w:hAnsiTheme="majorHAnsi" w:cstheme="majorBidi"/>
      <w:i/>
      <w:iCs/>
      <w:color w:val="365F91" w:themeColor="accent1" w:themeShade="BF"/>
    </w:rPr>
  </w:style>
  <w:style w:type="paragraph" w:customStyle="1" w:styleId="centered">
    <w:name w:val="centered"/>
    <w:basedOn w:val="Normal"/>
    <w:link w:val="centeredChar"/>
    <w:qFormat/>
    <w:rsid w:val="000160D7"/>
    <w:pPr>
      <w:jc w:val="center"/>
    </w:pPr>
  </w:style>
  <w:style w:type="character" w:customStyle="1" w:styleId="centeredChar">
    <w:name w:val="centered Char"/>
    <w:basedOn w:val="DefaultParagraphFont"/>
    <w:link w:val="centered"/>
    <w:rsid w:val="000160D7"/>
  </w:style>
  <w:style w:type="character" w:styleId="Emphasis">
    <w:name w:val="Emphasis"/>
    <w:basedOn w:val="DefaultParagraphFont"/>
    <w:uiPriority w:val="20"/>
    <w:qFormat/>
    <w:rsid w:val="00186CED"/>
    <w:rPr>
      <w:i/>
      <w:iCs/>
      <w:color w:val="FF0000"/>
      <w:sz w:val="32"/>
    </w:rPr>
  </w:style>
  <w:style w:type="paragraph" w:customStyle="1" w:styleId="DraftEmphasis">
    <w:name w:val="Draft Emphasis"/>
    <w:basedOn w:val="Normal"/>
    <w:link w:val="DraftEmphasisChar"/>
    <w:qFormat/>
    <w:rsid w:val="00D36297"/>
    <w:pPr>
      <w:jc w:val="center"/>
    </w:pPr>
    <w:rPr>
      <w:rFonts w:ascii="Calibri" w:hAnsi="Calibri"/>
      <w:color w:val="FF0000"/>
      <w:sz w:val="32"/>
    </w:rPr>
  </w:style>
  <w:style w:type="character" w:customStyle="1" w:styleId="DraftEmphasisChar">
    <w:name w:val="Draft Emphasis Char"/>
    <w:basedOn w:val="DefaultParagraphFont"/>
    <w:link w:val="DraftEmphasis"/>
    <w:rsid w:val="00D36297"/>
    <w:rPr>
      <w:rFonts w:ascii="Calibri" w:hAnsi="Calibri"/>
      <w:color w:val="FF0000"/>
      <w:sz w:val="32"/>
    </w:rPr>
  </w:style>
  <w:style w:type="paragraph" w:customStyle="1" w:styleId="ImageCaption">
    <w:name w:val="Image Caption"/>
    <w:qFormat/>
  </w:style>
  <w:style w:type="paragraph" w:customStyle="1" w:styleId="TableCaption">
    <w:name w:val="Table Caption"/>
    <w:qFormat/>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i.org/10.1007/s13253-024-00649-3" TargetMode="External"/><Relationship Id="rId5" Type="http://schemas.openxmlformats.org/officeDocument/2006/relationships/hyperlink" Target="https://www.wildlife.ca.gov/Conservation/Delta/Spring-Kodiak-Traw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Department of Interior</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Mitchell, Lara</cp:lastModifiedBy>
  <cp:revision>2</cp:revision>
  <dcterms:created xsi:type="dcterms:W3CDTF">2025-06-23T16:37:00Z</dcterms:created>
  <dcterms:modified xsi:type="dcterms:W3CDTF">2025-06-23T16:40:00Z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