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none"/>
          <w:lang w:val="fr-FR"/>
        </w:rPr>
        <w:t>Basic Project roles</w:t>
      </w:r>
      <w:r>
        <w:drawing>
          <wp:inline distT="0" distB="0" distL="114300" distR="114300">
            <wp:extent cx="5267325" cy="4205605"/>
            <wp:effectExtent l="0" t="0" r="5715" b="635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Dataflow</w:t>
      </w: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drawing>
          <wp:inline distT="0" distB="0" distL="114300" distR="114300">
            <wp:extent cx="5265420" cy="2614930"/>
            <wp:effectExtent l="0" t="0" r="762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roles/dataflow.admin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fr-F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= Minimal role for creating and managing dataflow jobs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roles/dataflow.developer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fr-F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= Provides the permissions necessary to execute and manipulate Dataflow jobs, but no access to the data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. Lowest-level resources where you can grant this role: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Note: this role lets the developer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create and cancel Dataflow jobs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, but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not interact with the individual VMs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 or access other Cloud services.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 xml:space="preserve"> roles/dataflow.viewer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Provides read-only access to all Dataflow-related resources. Lowest-level ressource: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roles/dataflow.worker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Provides the permissions necessary for a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Compute Engine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service account to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execute work units for a Dataflow pipeline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Lowest-level ressource: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Other: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drawing>
          <wp:inline distT="0" distB="0" distL="114300" distR="114300">
            <wp:extent cx="5269230" cy="132588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br w:type="textWrapping"/>
      </w: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Cloud Storage:</w:t>
      </w: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IAM granularity: project, bucket, and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  <w:t>OBJECT level</w:t>
      </w: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BigQuery:</w:t>
      </w:r>
    </w:p>
    <w:p>
      <w:pP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IAM granularity: project, dataset,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fr-FR"/>
        </w:rPr>
        <w:t xml:space="preserve">table,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fr-FR"/>
        </w:rPr>
        <w:t>column and rows level (Not sure it’s from IAM)</w:t>
      </w:r>
    </w:p>
    <w:p>
      <w:r>
        <w:drawing>
          <wp:inline distT="0" distB="0" distL="114300" distR="114300">
            <wp:extent cx="5266690" cy="4034790"/>
            <wp:effectExtent l="0" t="0" r="6350" b="381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Note:</w:t>
      </w:r>
    </w:p>
    <w:p>
      <w:pP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</w:pPr>
      <w:r>
        <w:drawing>
          <wp:inline distT="0" distB="0" distL="114300" distR="114300">
            <wp:extent cx="5273040" cy="2978785"/>
            <wp:effectExtent l="0" t="0" r="0" b="825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52BEB"/>
    <w:rsid w:val="063B4C2B"/>
    <w:rsid w:val="0719024B"/>
    <w:rsid w:val="09AF0A32"/>
    <w:rsid w:val="15CF1017"/>
    <w:rsid w:val="21635AC5"/>
    <w:rsid w:val="4C2E588D"/>
    <w:rsid w:val="54163D8B"/>
    <w:rsid w:val="61775AA5"/>
    <w:rsid w:val="63A24DCC"/>
    <w:rsid w:val="6BCE28AE"/>
    <w:rsid w:val="6C643A6C"/>
    <w:rsid w:val="707472AC"/>
    <w:rsid w:val="7384156F"/>
    <w:rsid w:val="7C0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2022-11-04T21:46:00Z</dcterms:created>
  <dc:creator>Ali</dc:creator>
  <cp:lastModifiedBy>NeKsTeR ???</cp:lastModifiedBy>
  <dcterms:modified xsi:type="dcterms:W3CDTF">2022-11-17T22:37:25Z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D42D8A90249542B0A28CBF12AD2371C8</vt:lpwstr>
  </property>
</Properties>
</file>