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9230" cy="1674495"/>
            <wp:effectExtent l="0" t="0" r="381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THE CPU QUOTAS LIMITS THE NUMBER OF CPUs ACTIVE AT THE SAME TIME, NOT THE USAGE OF THE CPUs.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8595" cy="2579370"/>
            <wp:effectExtent l="0" t="0" r="4445" b="114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However, if your job does not need to access any external APIs or services, you can launch the Dataflow job using internal IPs only, which saves money and conserves the in-use IP address quota.</w:t>
      </w:r>
    </w:p>
    <w:p>
      <w:pPr>
        <w:rPr>
          <w:rFonts w:hint="default"/>
          <w:lang w:val="fr-FR" w:eastAsia="zh-CN"/>
        </w:rPr>
      </w:pPr>
    </w:p>
    <w:p>
      <w:pPr>
        <w:rPr>
          <w:rFonts w:hint="default"/>
          <w:b/>
          <w:bCs/>
          <w:lang w:val="fr-FR" w:eastAsia="zh-CN"/>
        </w:rPr>
      </w:pPr>
      <w:r>
        <w:rPr>
          <w:rFonts w:hint="default"/>
          <w:lang w:val="fr-FR" w:eastAsia="zh-CN"/>
        </w:rPr>
        <w:t xml:space="preserve">If you have multiple quotas (cpu, IP, etc...), When you launch a Dataflow job, </w:t>
      </w:r>
      <w:r>
        <w:rPr>
          <w:rFonts w:hint="default"/>
          <w:b/>
          <w:bCs/>
          <w:lang w:val="fr-FR" w:eastAsia="zh-CN"/>
        </w:rPr>
        <w:t>the more restrictive quota takes precedence.</w:t>
      </w:r>
    </w:p>
    <w:p>
      <w:pPr>
        <w:rPr>
          <w:rFonts w:hint="default"/>
          <w:lang w:val="fr-FR" w:eastAsia="zh-CN"/>
        </w:rPr>
      </w:pPr>
    </w:p>
    <w:p>
      <w:r>
        <w:drawing>
          <wp:inline distT="0" distB="0" distL="114300" distR="114300">
            <wp:extent cx="5266055" cy="2639695"/>
            <wp:effectExtent l="0" t="0" r="6985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E.g to set the storage unit to SSD: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791460"/>
            <wp:effectExtent l="0" t="0" r="8255" b="127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br w:type="textWrapping"/>
      </w:r>
    </w:p>
    <w:p>
      <w:pPr>
        <w:numPr>
          <w:ilvl w:val="0"/>
          <w:numId w:val="0"/>
        </w:numPr>
        <w:rPr>
          <w:rFonts w:hint="default"/>
          <w:lang w:val="fr-FR" w:eastAsia="zh-CN"/>
        </w:rPr>
      </w:pPr>
      <w:r>
        <w:drawing>
          <wp:inline distT="0" distB="0" distL="114300" distR="114300">
            <wp:extent cx="5264785" cy="2606040"/>
            <wp:effectExtent l="0" t="0" r="825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. When you launch a batch pipeline, the ratio of VMs to PDs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  <w:lang w:val="fr-FR"/>
        </w:rPr>
        <w:t xml:space="preserve"> (persistent disks)</w:t>
      </w: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 xml:space="preserve"> is 1:1.</w:t>
      </w: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  <w:lang w:val="fr-FR"/>
        </w:rPr>
        <w:t xml:space="preserve">Note: </w:t>
      </w: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 xml:space="preserve">Dataflow Shuffle 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  <w:lang w:val="fr-FR"/>
        </w:rPr>
        <w:t xml:space="preserve">Service </w:t>
      </w:r>
      <w: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  <w:t>moves the Shuffle operation out of the worker VMs and into the Dataflow service back end, which is why the default persistent disk size</w:t>
      </w: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3C4043"/>
          <w:spacing w:val="0"/>
          <w:sz w:val="19"/>
          <w:szCs w:val="19"/>
          <w:shd w:val="clear" w:fill="FFFFFF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639695"/>
            <wp:effectExtent l="0" t="0" r="3810" b="1206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924050"/>
            <wp:effectExtent l="0" t="0" r="2540" b="114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 w:eastAsia="zh-CN"/>
        </w:rPr>
      </w:pPr>
      <w:bookmarkStart w:id="0" w:name="_GoBack"/>
      <w:r>
        <w:drawing>
          <wp:inline distT="0" distB="0" distL="114300" distR="114300">
            <wp:extent cx="4739640" cy="33680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54710E"/>
    <w:rsid w:val="2AAC1EC5"/>
    <w:rsid w:val="3CD60C8D"/>
    <w:rsid w:val="5C992EF2"/>
    <w:rsid w:val="6048752C"/>
    <w:rsid w:val="66384BCC"/>
    <w:rsid w:val="7730005F"/>
    <w:rsid w:val="7BD8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2022-10-14T18:44:00Z</dcterms:created>
  <dc:creator>Ali</dc:creator>
  <cp:lastModifiedBy>NeKsTeR ???</cp:lastModifiedBy>
  <dcterms:modified xsi:type="dcterms:W3CDTF">2022-11-05T19:15:20Z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DC4D3B37D972494F8374208FF7C28677</vt:lpwstr>
  </property>
</Properties>
</file>