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left"/>
      </w:pPr>
      <w:r>
        <w:rPr>
          <w:rFonts w:ascii="Calibri" w:cs="Calibri" w:eastAsia="Calibri" w:hAnsi="Calibri"/>
          <w:b/>
          <w:bCs/>
          <w:color w:val="1F3864"/>
          <w:sz w:val="52"/>
          <w:szCs w:val="52"/>
        </w:rPr>
        <w:t xml:space="preserve">Neural mechanisms of the three PROTEUS mental commands</w:t>
      </w:r>
    </w:p>
    <w:p>
      <w:pPr>
        <w:spacing w:after="120" w:line="276"/>
      </w:pPr>
      <w:r>
        <w:rPr>
          <w:rFonts w:ascii="Calibri" w:cs="Calibri" w:eastAsia="Calibri" w:hAnsi="Calibri"/>
          <w:color w:val="404040"/>
          <w:sz w:val="26"/>
          <w:szCs w:val="26"/>
        </w:rPr>
        <w:t xml:space="preserve">A theoretical framework for building the Track 2 decoder (EEG/EMG Foundation Challenge 2026, BCI decoding)</w:t>
      </w:r>
    </w:p>
    <w:p>
      <w:pPr>
        <w:spacing w:after="120" w:line="276"/>
      </w:pPr>
      <w:r>
        <w:rPr>
          <w:rFonts w:ascii="Calibri" w:cs="Calibri" w:eastAsia="Calibri" w:hAnsi="Calibri"/>
          <w:i/>
          <w:iCs/>
          <w:color w:val="595959"/>
          <w:sz w:val="20"/>
          <w:szCs w:val="20"/>
        </w:rPr>
        <w:t xml:space="preserve">Prepared 15 October 2026 for the Codabench Track 2 work in codabench/. Companion to RELEASE_DAY.md (revised the same day). Dataset: PROTEUS BCI Bordeaux, NEMAR nm000290 v1.0.0 (Dreyer et al., 2026).</w:t>
      </w:r>
    </w:p>
    <w:p>
      <w:pPr>
        <w:spacing w:after="120"/>
      </w:pPr>
    </w:p>
    <w:p>
      <w:pPr>
        <w:pStyle w:val="Heading1"/>
        <w:spacing w:before="360" w:after="160"/>
      </w:pPr>
      <w:r>
        <w:rPr>
          <w:rFonts w:ascii="Calibri" w:cs="Calibri" w:eastAsia="Calibri" w:hAnsi="Calibri"/>
        </w:rPr>
        <w:t xml:space="preserve">Summary</w:t>
      </w:r>
    </w:p>
    <w:p>
      <w:pPr>
        <w:spacing w:after="120" w:line="276"/>
      </w:pPr>
      <w:r>
        <w:rPr>
          <w:rFonts w:ascii="Calibri" w:cs="Calibri" w:eastAsia="Calibri" w:hAnsi="Calibri"/>
          <w:sz w:val="22"/>
          <w:szCs w:val="22"/>
        </w:rPr>
        <w:t xml:space="preserve">The competition asks for a decoder that tells three cued mental commands apart from a single 4-second window of 41-channel EEG: kinesthetic motor imagery of the non-dominant hand, mental subtraction, and covert word generation from a given letter. The three were not chosen at random. They follow the Graz "brain-teaser plus dynamic imagery" logic, which pairs tasks that recruit distinct cortical networks so that the EEG contrasts are as large and as orthogonal as the modality allows. This document sets out, for each task, what the brain is doing, where and in which frequency band the scalp EEG shows it, how it unfolds over the 4-second window, and how reliably it transfers between people and across sessions. It then turns those facts into design constraints for the model and into a short list of checks to run on the data.</w:t>
      </w:r>
    </w:p>
    <w:p>
      <w:pPr>
        <w:spacing w:after="120" w:line="276"/>
      </w:pPr>
      <w:r>
        <w:rPr>
          <w:rFonts w:ascii="Calibri" w:cs="Calibri" w:eastAsia="Calibri" w:hAnsi="Calibri"/>
          <w:b/>
          <w:bCs/>
          <w:sz w:val="22"/>
          <w:szCs w:val="22"/>
        </w:rPr>
        <w:t xml:space="preserve">The three signatures in one line each. </w:t>
      </w:r>
      <w:r>
        <w:rPr>
          <w:rFonts w:ascii="Calibri" w:cs="Calibri" w:eastAsia="Calibri" w:hAnsi="Calibri"/>
          <w:sz w:val="22"/>
          <w:szCs w:val="22"/>
        </w:rPr>
        <w:t xml:space="preserve">Motor imagery: a sustained mu (8–13 Hz) and beta (13–30 Hz) power decrease over the sensorimotor hand area contralateral to the imagined hand, with a mild ipsilateral and surrounding power increase. Mental subtraction: a frontal-midline theta (4–8 Hz) increase from anterior cingulate and medial prefrontal cortex, with a widespread parietal and parieto-occipital alpha decrease that grows with load. Word generation: a left-lateralised alpha and beta decrease over inferior frontal and fronto-temporal cortex, with articulatory sensorimotor involvement around the ventral end of the central sulcus, and theta increases linked to lexical search.</w:t>
      </w:r>
    </w:p>
    <w:p>
      <w:pPr>
        <w:spacing w:after="120" w:line="276"/>
      </w:pPr>
      <w:r>
        <w:rPr>
          <w:rFonts w:ascii="Calibri" w:cs="Calibri" w:eastAsia="Calibri" w:hAnsi="Calibri"/>
          <w:b/>
          <w:bCs/>
          <w:sz w:val="22"/>
          <w:szCs w:val="22"/>
        </w:rPr>
        <w:t xml:space="preserve">What this implies for the decoder. </w:t>
      </w:r>
      <w:r>
        <w:rPr>
          <w:rFonts w:ascii="Calibri" w:cs="Calibri" w:eastAsia="Calibri" w:hAnsi="Calibri"/>
          <w:sz w:val="22"/>
          <w:szCs w:val="22"/>
        </w:rPr>
        <w:t xml:space="preserve">The useful information is spatial (right-central versus midline-frontal versus left-fronto-temporal), spectral (mu/beta versus theta/alpha versus alpha/beta) and temporal (sustained versus ramping versus bursty). Band-limited covariance features over a dense centro-parietal montage capture all three at once, which is why the Riemannian pipeline is a sound starting point. The two hard parts are not the physiology but its variability: the absolute scale and topography of every signature differ between people far more than between tasks, and 15–30 % of users produce little or no usable motor-imagery signal. Alignment that removes person-specific covariance structure, symmetric features that do not presuppose which hand is imagined, and label-free within-session adaptation are the levers that address this; the physiology tells us which features to protect while doing so.</w:t>
      </w:r>
    </w:p>
    <w:p>
      <w:pPr>
        <w:pStyle w:val="Heading1"/>
        <w:spacing w:before="360" w:after="160"/>
      </w:pPr>
      <w:r>
        <w:rPr>
          <w:rFonts w:ascii="Calibri" w:cs="Calibri" w:eastAsia="Calibri" w:hAnsi="Calibri"/>
        </w:rPr>
        <w:t xml:space="preserve">1. The paradigm as recorded</w:t>
      </w:r>
    </w:p>
    <w:p>
      <w:pPr>
        <w:spacing w:after="120" w:line="276"/>
      </w:pPr>
      <w:r>
        <w:rPr>
          <w:rFonts w:ascii="Calibri" w:cs="Calibri" w:eastAsia="Calibri" w:hAnsi="Calibri"/>
          <w:sz w:val="22"/>
          <w:szCs w:val="22"/>
        </w:rPr>
        <w:t xml:space="preserve">The facts below come from the BIDS sidecars and event files of the public release (sub-P04, session 1, and the dataset README), read on 15 October 2026.</w:t>
      </w:r>
    </w:p>
    <w:p>
      <w:pPr>
        <w:pStyle w:val="Heading2"/>
        <w:spacing w:before="240" w:after="120"/>
      </w:pPr>
      <w:r>
        <w:rPr>
          <w:rFonts w:ascii="Calibri" w:cs="Calibri" w:eastAsia="Calibri" w:hAnsi="Calibri"/>
        </w:rPr>
        <w:t xml:space="preserve">1.1 Tasks and instructions</w:t>
      </w:r>
    </w:p>
    <w:p>
      <w:pPr>
        <w:pStyle w:val="ListParagraph"/>
        <w:numPr>
          <w:ilvl w:val="0"/>
          <w:numId w:val="2"/>
        </w:numPr>
        <w:spacing w:after="60" w:line="264"/>
      </w:pPr>
      <w:r>
        <w:rPr>
          <w:rFonts w:ascii="Calibri" w:cs="Calibri" w:eastAsia="Calibri" w:hAnsi="Calibri"/>
          <w:b/>
          <w:bCs/>
          <w:sz w:val="22"/>
          <w:szCs w:val="22"/>
        </w:rPr>
        <w:t xml:space="preserve">MI (label mi, code 33024): </w:t>
      </w:r>
      <w:r>
        <w:rPr>
          <w:rFonts w:ascii="Calibri" w:cs="Calibri" w:eastAsia="Calibri" w:hAnsi="Calibri"/>
          <w:sz w:val="22"/>
          <w:szCs w:val="22"/>
        </w:rPr>
        <w:t xml:space="preserve">"Imagine performing a specific movement (e.g., clenching your fist) while focusing on all the sensations associated with the real movement. You should feel as if you are about to move, but without any actual execution: only the vivid sensation of the intended movement." The hand is the non-dominant one. Handedness is withheld from the public metadata.</w:t>
      </w:r>
    </w:p>
    <w:p>
      <w:pPr>
        <w:pStyle w:val="ListParagraph"/>
        <w:numPr>
          <w:ilvl w:val="0"/>
          <w:numId w:val="2"/>
        </w:numPr>
        <w:spacing w:after="60" w:line="264"/>
      </w:pPr>
      <w:r>
        <w:rPr>
          <w:rFonts w:ascii="Calibri" w:cs="Calibri" w:eastAsia="Calibri" w:hAnsi="Calibri"/>
          <w:b/>
          <w:bCs/>
          <w:sz w:val="22"/>
          <w:szCs w:val="22"/>
        </w:rPr>
        <w:t xml:space="preserve">MC (label sub, code 33025): </w:t>
      </w:r>
      <w:r>
        <w:rPr>
          <w:rFonts w:ascii="Calibri" w:cs="Calibri" w:eastAsia="Calibri" w:hAnsi="Calibri"/>
          <w:sz w:val="22"/>
          <w:szCs w:val="22"/>
        </w:rPr>
        <w:t xml:space="preserve">mental subtraction. In the Graz lineage this is serial subtraction of a two-digit number from a three-digit number shown with the cue, continued for the trial.</w:t>
      </w:r>
    </w:p>
    <w:p>
      <w:pPr>
        <w:pStyle w:val="ListParagraph"/>
        <w:numPr>
          <w:ilvl w:val="0"/>
          <w:numId w:val="2"/>
        </w:numPr>
        <w:spacing w:after="60" w:line="264"/>
      </w:pPr>
      <w:r>
        <w:rPr>
          <w:rFonts w:ascii="Calibri" w:cs="Calibri" w:eastAsia="Calibri" w:hAnsi="Calibri"/>
          <w:b/>
          <w:bCs/>
          <w:sz w:val="22"/>
          <w:szCs w:val="22"/>
        </w:rPr>
        <w:t xml:space="preserve">LW (label word, code 33026): </w:t>
      </w:r>
      <w:r>
        <w:rPr>
          <w:rFonts w:ascii="Calibri" w:cs="Calibri" w:eastAsia="Calibri" w:hAnsi="Calibri"/>
          <w:sz w:val="22"/>
          <w:szCs w:val="22"/>
        </w:rPr>
        <w:t xml:space="preserve">generating as many words as possible starting with a given letter (a covert phonemic verbal-fluency task).</w:t>
      </w:r>
    </w:p>
    <w:p>
      <w:pPr>
        <w:pStyle w:val="Heading2"/>
        <w:spacing w:before="240" w:after="120"/>
      </w:pPr>
      <w:r>
        <w:rPr>
          <w:rFonts w:ascii="Calibri" w:cs="Calibri" w:eastAsia="Calibri" w:hAnsi="Calibri"/>
        </w:rPr>
        <w:t xml:space="preserve">1.2 Trial structure and what the window contains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700"/>
      </w:tblGrid>
      <w:tr>
        <w:trPr>
          <w:tblHeader/>
        </w:trPr>
        <w:tc>
          <w:tcPr>
            <w:tcW w:type="dxa" w:w="1700"/>
            <w:tcBorders>
              <w:top w:val="single" w:color="BFBFBF" w:sz="4"/>
              <w:left w:val="single" w:color="BFBFBF" w:sz="4"/>
              <w:bottom w:val="single" w:color="BFBFBF" w:sz="4"/>
              <w:right w:val="single" w:color="BFBFBF" w:sz="4"/>
            </w:tcBorders>
            <w:shd w:fill="E7EEF5"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Time (s, cue = 0)</w:t>
            </w:r>
          </w:p>
        </w:tc>
        <w:tc>
          <w:tcPr>
            <w:tcW w:type="dxa" w:w="3700"/>
            <w:tcBorders>
              <w:top w:val="single" w:color="BFBFBF" w:sz="4"/>
              <w:left w:val="single" w:color="BFBFBF" w:sz="4"/>
              <w:bottom w:val="single" w:color="BFBFBF" w:sz="4"/>
              <w:right w:val="single" w:color="BFBFBF" w:sz="4"/>
            </w:tcBorders>
            <w:shd w:fill="E7EEF5"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Graz interface</w:t>
            </w:r>
          </w:p>
        </w:tc>
        <w:tc>
          <w:tcPr>
            <w:tcW w:type="dxa" w:w="3700"/>
            <w:tcBorders>
              <w:top w:val="single" w:color="BFBFBF" w:sz="4"/>
              <w:left w:val="single" w:color="BFBFBF" w:sz="4"/>
              <w:bottom w:val="single" w:color="BFBFBF" w:sz="4"/>
              <w:right w:val="single" w:color="BFBFBF" w:sz="4"/>
            </w:tcBorders>
            <w:shd w:fill="E7EEF5"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BrainHero interface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−1.5 / about −0.9</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trial start, fixation cross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trial start, fixation cross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−0.5</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auditory beep (warning)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no beep</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0</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cue on screen (annotated 8 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cue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+1 to +5</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the delivered window (480 samples at 120 Hz)</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same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+3</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feedback begins (bar); sham in calibration runs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feedback begins (game); sham in calibration runs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+8</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trial end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trial end</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next cue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+12.5, fixed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+10.5 to +12.5, jittered</w:t>
            </w:r>
          </w:p>
        </w:tc>
      </w:tr>
    </w:tbl>
    <w:p>
      <w:pPr>
        <w:spacing w:after="120"/>
      </w:pPr>
    </w:p>
    <w:p>
      <w:pPr>
        <w:spacing w:after="120" w:line="276"/>
      </w:pPr>
      <w:r>
        <w:rPr>
          <w:rFonts w:ascii="Calibri" w:cs="Calibri" w:eastAsia="Calibri" w:hAnsi="Calibri"/>
          <w:sz w:val="22"/>
          <w:szCs w:val="22"/>
        </w:rPr>
        <w:t xml:space="preserve">Two features of this timeline matter for the physiology. First, the window skips the first second after the cue, so the cue-evoked potentials and the earliest, most phasic part of the response are mostly outside it; what remains is the sustained, induced oscillatory response, which is exactly what event-related desynchronisation and synchronisation (ERD/ERS) analysis describes. Second, the window straddles feedback onset at +3 s: its first two seconds are task-only, its last two seconds carry whatever visual and evaluative processing the feedback adds. In calibration runs (runs 1–2 of every session) the feedback is sham and carries no class information; in online runs (runs 3–6) it follows the online classifier's decision, which is correlated with the true class. A decoder can therefore learn feedback-driven activity that is informative in online runs only.</w:t>
      </w:r>
    </w:p>
    <w:p>
      <w:pPr>
        <w:pStyle w:val="Heading2"/>
        <w:spacing w:before="240" w:after="120"/>
      </w:pPr>
      <w:r>
        <w:rPr>
          <w:rFonts w:ascii="Calibri" w:cs="Calibri" w:eastAsia="Calibri" w:hAnsi="Calibri"/>
        </w:rPr>
        <w:t xml:space="preserve">1.3 Interfaces, sessions and the recording</w:t>
      </w:r>
    </w:p>
    <w:p>
      <w:pPr>
        <w:spacing w:after="120" w:line="276"/>
      </w:pPr>
      <w:r>
        <w:rPr>
          <w:rFonts w:ascii="Calibri" w:cs="Calibri" w:eastAsia="Calibri" w:hAnsi="Calibri"/>
          <w:sz w:val="22"/>
          <w:szCs w:val="22"/>
        </w:rPr>
        <w:t xml:space="preserve">Each session holds two resting runs (eyes closed, eyes open, 187 s each), then two calibration runs with sham feedback (one per interface) and four online runs with real feedback (two per interface), in a session-specific interface order. Graz is the classical bar-feedback paradigm; BrainHero is Potioc's gamified version of the same protocol, inspired by rhythm games, built to make training more engaging. The EEG is a 64-channel actiCAP/actiCHamp system of which 41 channels are released, referenced to the left mastoid (M1), 500 Hz, later band-passed 0.1–75 Hz, notch-filtered and resampled to 120 Hz for the competition tensor. The montage is dense over FC/C/CP/P rows 1–6 bilaterally with the midline Fz–FCz–Cz–CPz–Pz, reaches AF3/AF4 anteriorly and PO7/PO8 posteriorly, and has no Fp, F7/F8, T7/T8, P7/P8 or occipital electrodes. It is a motor-centred montage with partial frontal and parietal cover: well suited to hand-area ERD and frontal-midline theta, adequate for left inferior-frontal activity (F5, FC5, C5, CP5, TP7), and blind to the occipital alpha generators.</w:t>
      </w:r>
    </w:p>
    <w:p>
      <w:pPr>
        <w:spacing w:after="120" w:line="276"/>
      </w:pPr>
      <w:r>
        <w:rPr>
          <w:rFonts w:ascii="Calibri" w:cs="Calibri" w:eastAsia="Calibri" w:hAnsi="Calibri"/>
          <w:sz w:val="22"/>
          <w:szCs w:val="22"/>
        </w:rPr>
        <w:t xml:space="preserve">Ten participants (aged 18–44), fourteen sessions: eight people contribute one session, two (P04, P10) their first three. The release is a subset of a larger multi-session user-training study, from which the sealed test draws later sessions of the same ten people and ten further people.</w:t>
      </w:r>
    </w:p>
    <w:p>
      <w:pPr>
        <w:pStyle w:val="Heading1"/>
        <w:spacing w:before="360" w:after="160"/>
      </w:pPr>
      <w:r>
        <w:rPr>
          <w:rFonts w:ascii="Calibri" w:cs="Calibri" w:eastAsia="Calibri" w:hAnsi="Calibri"/>
        </w:rPr>
        <w:t xml:space="preserve">2. The common ground: induced oscillations and the ERD/ERS framework</w:t>
      </w:r>
    </w:p>
    <w:p>
      <w:pPr>
        <w:spacing w:after="120" w:line="276"/>
      </w:pPr>
      <w:r>
        <w:rPr>
          <w:rFonts w:ascii="Calibri" w:cs="Calibri" w:eastAsia="Calibri" w:hAnsi="Calibri"/>
          <w:sz w:val="22"/>
          <w:szCs w:val="22"/>
        </w:rPr>
        <w:t xml:space="preserve">All three tasks are decoded, in practice, from changes in band-limited power of ongoing cortical rhythms rather than from phase-locked evoked potentials. The framework is Pfurtscheller and Lopes da Silva's (1999): a cortical area that becomes engaged in processing shows a decrease of its idling rhythm (alpha-range mu over sensorimotor cortex, posterior alpha over parieto-occipital cortex, beta over motor cortex), called event-related desynchronisation (ERD), while surrounding or idle areas may show an increase (ERS). ERD reflects increased, less synchronised firing of a larger population; ERS reflects coherent idling or active inhibition. Theta-band increases over the frontal midline behave differently: they are a sign of engagement of the anterior cingulate and medial prefrontal cortex in effortful control, working-memory maintenance and sustained attention (Klimesch, 1999; Sauseng et al., 2010).</w:t>
      </w:r>
    </w:p>
    <w:p>
      <w:pPr>
        <w:spacing w:after="120" w:line="276"/>
      </w:pPr>
      <w:r>
        <w:rPr>
          <w:rFonts w:ascii="Calibri" w:cs="Calibri" w:eastAsia="Calibri" w:hAnsi="Calibri"/>
          <w:sz w:val="22"/>
          <w:szCs w:val="22"/>
        </w:rPr>
        <w:t xml:space="preserve">Four properties of these responses carry straight into decoder design:</w:t>
      </w:r>
    </w:p>
    <w:p>
      <w:pPr>
        <w:pStyle w:val="ListParagraph"/>
        <w:numPr>
          <w:ilvl w:val="0"/>
          <w:numId w:val="2"/>
        </w:numPr>
        <w:spacing w:after="60" w:line="264"/>
      </w:pPr>
      <w:r>
        <w:rPr>
          <w:rFonts w:ascii="Calibri" w:cs="Calibri" w:eastAsia="Calibri" w:hAnsi="Calibri"/>
          <w:b/>
          <w:bCs/>
          <w:sz w:val="22"/>
          <w:szCs w:val="22"/>
        </w:rPr>
        <w:t xml:space="preserve">They are induced, not evoked. </w:t>
      </w:r>
      <w:r>
        <w:rPr>
          <w:rFonts w:ascii="Calibri" w:cs="Calibri" w:eastAsia="Calibri" w:hAnsi="Calibri"/>
          <w:sz w:val="22"/>
          <w:szCs w:val="22"/>
        </w:rPr>
        <w:t xml:space="preserve">Power changes are not phase-locked to the cue, so averaging across trials in the time domain cancels them; covariance, band power and spectral features retain them. A cue-locked evoked response exists but is largely over by +1 s.</w:t>
      </w:r>
    </w:p>
    <w:p>
      <w:pPr>
        <w:pStyle w:val="ListParagraph"/>
        <w:numPr>
          <w:ilvl w:val="0"/>
          <w:numId w:val="2"/>
        </w:numPr>
        <w:spacing w:after="60" w:line="264"/>
      </w:pPr>
      <w:r>
        <w:rPr>
          <w:rFonts w:ascii="Calibri" w:cs="Calibri" w:eastAsia="Calibri" w:hAnsi="Calibri"/>
          <w:b/>
          <w:bCs/>
          <w:sz w:val="22"/>
          <w:szCs w:val="22"/>
        </w:rPr>
        <w:t xml:space="preserve">They are sustained. </w:t>
      </w:r>
      <w:r>
        <w:rPr>
          <w:rFonts w:ascii="Calibri" w:cs="Calibri" w:eastAsia="Calibri" w:hAnsi="Calibri"/>
          <w:sz w:val="22"/>
          <w:szCs w:val="22"/>
        </w:rPr>
        <w:t xml:space="preserve">Once a task is under way, ERD persists for as long as the task is performed, with a build-up of a few hundred milliseconds. A 4-second window from +1 s sits inside the plateau for all three tasks.</w:t>
      </w:r>
    </w:p>
    <w:p>
      <w:pPr>
        <w:pStyle w:val="ListParagraph"/>
        <w:numPr>
          <w:ilvl w:val="0"/>
          <w:numId w:val="2"/>
        </w:numPr>
        <w:spacing w:after="60" w:line="264"/>
      </w:pPr>
      <w:r>
        <w:rPr>
          <w:rFonts w:ascii="Calibri" w:cs="Calibri" w:eastAsia="Calibri" w:hAnsi="Calibri"/>
          <w:b/>
          <w:bCs/>
          <w:sz w:val="22"/>
          <w:szCs w:val="22"/>
        </w:rPr>
        <w:t xml:space="preserve">They are relative. </w:t>
      </w:r>
      <w:r>
        <w:rPr>
          <w:rFonts w:ascii="Calibri" w:cs="Calibri" w:eastAsia="Calibri" w:hAnsi="Calibri"/>
          <w:sz w:val="22"/>
          <w:szCs w:val="22"/>
        </w:rPr>
        <w:t xml:space="preserve">ERD is defined against a reference interval; absolute band power differs by an order of magnitude between people because of skull thickness, electrode impedance and individual rhythm amplitude. Between-person differences in absolute power dwarf between-task differences within a person.</w:t>
      </w:r>
    </w:p>
    <w:p>
      <w:pPr>
        <w:pStyle w:val="ListParagraph"/>
        <w:numPr>
          <w:ilvl w:val="0"/>
          <w:numId w:val="2"/>
        </w:numPr>
        <w:spacing w:after="60" w:line="264"/>
      </w:pPr>
      <w:r>
        <w:rPr>
          <w:rFonts w:ascii="Calibri" w:cs="Calibri" w:eastAsia="Calibri" w:hAnsi="Calibri"/>
          <w:b/>
          <w:bCs/>
          <w:sz w:val="22"/>
          <w:szCs w:val="22"/>
        </w:rPr>
        <w:t xml:space="preserve">They have individual peak frequencies. </w:t>
      </w:r>
      <w:r>
        <w:rPr>
          <w:rFonts w:ascii="Calibri" w:cs="Calibri" w:eastAsia="Calibri" w:hAnsi="Calibri"/>
          <w:sz w:val="22"/>
          <w:szCs w:val="22"/>
        </w:rPr>
        <w:t xml:space="preserve">The individual alpha frequency ranges roughly 8–12 Hz, and mu and beta peaks vary accordingly, so fixed narrow bands lose signal for some people; moderately wide bands (4–8, 8–13, 13–30, 30–45 Hz) are a reasonable compromise and are what the current filter bank uses.</w:t>
      </w:r>
    </w:p>
    <w:p>
      <w:pPr>
        <w:pStyle w:val="Heading1"/>
        <w:spacing w:before="360" w:after="160"/>
      </w:pPr>
      <w:r>
        <w:rPr>
          <w:rFonts w:ascii="Calibri" w:cs="Calibri" w:eastAsia="Calibri" w:hAnsi="Calibri"/>
        </w:rPr>
        <w:t xml:space="preserve">3. Kinesthetic motor imagery of the non-dominant hand</w:t>
      </w:r>
    </w:p>
    <w:p>
      <w:pPr>
        <w:pStyle w:val="Heading2"/>
        <w:spacing w:before="240" w:after="120"/>
      </w:pPr>
      <w:r>
        <w:rPr>
          <w:rFonts w:ascii="Calibri" w:cs="Calibri" w:eastAsia="Calibri" w:hAnsi="Calibri"/>
        </w:rPr>
        <w:t xml:space="preserve">3.1 Mechanism</w:t>
      </w:r>
    </w:p>
    <w:p>
      <w:pPr>
        <w:spacing w:after="120" w:line="276"/>
      </w:pPr>
      <w:r>
        <w:rPr>
          <w:rFonts w:ascii="Calibri" w:cs="Calibri" w:eastAsia="Calibri" w:hAnsi="Calibri"/>
          <w:sz w:val="22"/>
          <w:szCs w:val="22"/>
        </w:rPr>
        <w:t xml:space="preserve">Motor imagery is the internal simulation of a movement without execution. Jeannerod's simulation account (2001) and the meta-analyses that followed (Hardwick et al., 2018) place imagery on the same network as execution minus most of the primary motor output: dorsal and ventral premotor cortex, supplementary motor area, primary somatosensory and, to a lesser degree, primary motor cortex, posterior parietal cortex, basal ganglia and cerebellum. The kinesthetic instruction (feel the movement) is deliberate: Neuper et al. (2005) showed that kinesthetic imagery produces a focal contralateral sensorimotor ERD, whereas visual imagery of the same movement produces a weaker, more posterior pattern. The instruction text in the PROTEUS sidecars reads as a textbook kinesthetic instruction.</w:t>
      </w:r>
    </w:p>
    <w:p>
      <w:pPr>
        <w:pStyle w:val="Heading2"/>
        <w:spacing w:before="240" w:after="120"/>
      </w:pPr>
      <w:r>
        <w:rPr>
          <w:rFonts w:ascii="Calibri" w:cs="Calibri" w:eastAsia="Calibri" w:hAnsi="Calibri"/>
        </w:rPr>
        <w:t xml:space="preserve">3.2 EEG signature</w:t>
      </w:r>
    </w:p>
    <w:p>
      <w:pPr>
        <w:pStyle w:val="ListParagraph"/>
        <w:numPr>
          <w:ilvl w:val="0"/>
          <w:numId w:val="2"/>
        </w:numPr>
        <w:spacing w:after="60" w:line="264"/>
      </w:pPr>
      <w:r>
        <w:rPr>
          <w:rFonts w:ascii="Calibri" w:cs="Calibri" w:eastAsia="Calibri" w:hAnsi="Calibri"/>
          <w:b/>
          <w:bCs/>
          <w:sz w:val="22"/>
          <w:szCs w:val="22"/>
        </w:rPr>
        <w:t xml:space="preserve">Space: </w:t>
      </w:r>
      <w:r>
        <w:rPr>
          <w:rFonts w:ascii="Calibri" w:cs="Calibri" w:eastAsia="Calibri" w:hAnsi="Calibri"/>
          <w:sz w:val="22"/>
          <w:szCs w:val="22"/>
        </w:rPr>
        <w:t xml:space="preserve">hand-area ERD centred on C3 (right hand) or C4 (left hand), with FC and CP neighbours, contralateral to the imagined hand. Early ERD work reported that non-dominant-hand movements produce a more strongly lateralised contralateral ERD than dominant-hand movements, which would favour a clean lateralised pattern here (Stancák and Pfurtscheller, 1996); a recent study of imagery in left- and right-handers found more bilateral patterns in right-handers, so this should be read as a tendency, not a rule.</w:t>
      </w:r>
    </w:p>
    <w:p>
      <w:pPr>
        <w:pStyle w:val="ListParagraph"/>
        <w:numPr>
          <w:ilvl w:val="0"/>
          <w:numId w:val="2"/>
        </w:numPr>
        <w:spacing w:after="60" w:line="264"/>
      </w:pPr>
      <w:r>
        <w:rPr>
          <w:rFonts w:ascii="Calibri" w:cs="Calibri" w:eastAsia="Calibri" w:hAnsi="Calibri"/>
          <w:b/>
          <w:bCs/>
          <w:sz w:val="22"/>
          <w:szCs w:val="22"/>
        </w:rPr>
        <w:t xml:space="preserve">Frequency: </w:t>
      </w:r>
      <w:r>
        <w:rPr>
          <w:rFonts w:ascii="Calibri" w:cs="Calibri" w:eastAsia="Calibri" w:hAnsi="Calibri"/>
          <w:sz w:val="22"/>
          <w:szCs w:val="22"/>
        </w:rPr>
        <w:t xml:space="preserve">mu (8–13 Hz, often with an individual peak near 10–11 Hz) and beta (13–30 Hz, strongest 18–26 Hz). Hand imagery also produces a surrounding or ipsilateral ERS, and foot or other-limb areas may show alpha ERS (the focal-ERD, surround-ERS pattern of Pfurtscheller et al., 2006). After the imagery ends, a beta rebound (ERS) follows; at +8 s it is outside the window.</w:t>
      </w:r>
    </w:p>
    <w:p>
      <w:pPr>
        <w:pStyle w:val="ListParagraph"/>
        <w:numPr>
          <w:ilvl w:val="0"/>
          <w:numId w:val="2"/>
        </w:numPr>
        <w:spacing w:after="60" w:line="264"/>
      </w:pPr>
      <w:r>
        <w:rPr>
          <w:rFonts w:ascii="Calibri" w:cs="Calibri" w:eastAsia="Calibri" w:hAnsi="Calibri"/>
          <w:b/>
          <w:bCs/>
          <w:sz w:val="22"/>
          <w:szCs w:val="22"/>
        </w:rPr>
        <w:t xml:space="preserve">Time: </w:t>
      </w:r>
      <w:r>
        <w:rPr>
          <w:rFonts w:ascii="Calibri" w:cs="Calibri" w:eastAsia="Calibri" w:hAnsi="Calibri"/>
          <w:sz w:val="22"/>
          <w:szCs w:val="22"/>
        </w:rPr>
        <w:t xml:space="preserve">ERD begins within about 0.5 s of the cue, reaches its plateau by 1–2 s and persists while imagery continues. In the +1 to +5 s window it should be present throughout, with the feedback at +3 s adding a parieto-occipital alpha ERD on top (visual attention) that is not class-specific in calibration runs.</w:t>
      </w:r>
    </w:p>
    <w:p>
      <w:pPr>
        <w:pStyle w:val="Heading2"/>
        <w:spacing w:before="240" w:after="120"/>
      </w:pPr>
      <w:r>
        <w:rPr>
          <w:rFonts w:ascii="Calibri" w:cs="Calibri" w:eastAsia="Calibri" w:hAnsi="Calibri"/>
        </w:rPr>
        <w:t xml:space="preserve">3.3 Variability and learning</w:t>
      </w:r>
    </w:p>
    <w:p>
      <w:pPr>
        <w:spacing w:after="120" w:line="276"/>
      </w:pPr>
      <w:r>
        <w:rPr>
          <w:rFonts w:ascii="Calibri" w:cs="Calibri" w:eastAsia="Calibri" w:hAnsi="Calibri"/>
          <w:sz w:val="22"/>
          <w:szCs w:val="22"/>
        </w:rPr>
        <w:t xml:space="preserve">This is the least reliable of the three commands across people. A sizeable minority of users (commonly quoted as 15–30 %) show no detectable sensorimotor ERD during imagery, and the amplitude of the resting mu rhythm predicts how well a user will control a sensorimotor BCI (Blankertz et al., 2010). Jeunet et al. (2015), in a six-session study with the same Bordeaux-style three-task protocol family, found that neurophysiological markers predicted little while spatial abilities (mental rotation scores) predicted performance strongly. With training, the ERD typically becomes more focal and more reliable, which means later sessions of P01–P10 may show cleaner MI patterns than the public session 1, and the two people with three public sessions (P04, P10) are the only local evidence of that change. The imagined hand is the non-dominant one and handedness is withheld: for right-handers the signature is right-hemispheric (C4), for the occasional left-hander it mirrors. The decoder must not assume a side; the data analysis should determine it per person from the sign of the C3-minus-C4 ERD in mi trials.</w:t>
      </w:r>
    </w:p>
    <w:p>
      <w:pPr>
        <w:pStyle w:val="Heading1"/>
        <w:spacing w:before="360" w:after="160"/>
      </w:pPr>
      <w:r>
        <w:rPr>
          <w:rFonts w:ascii="Calibri" w:cs="Calibri" w:eastAsia="Calibri" w:hAnsi="Calibri"/>
        </w:rPr>
        <w:t xml:space="preserve">4. Mental subtraction</w:t>
      </w:r>
    </w:p>
    <w:p>
      <w:pPr>
        <w:pStyle w:val="Heading2"/>
        <w:spacing w:before="240" w:after="120"/>
      </w:pPr>
      <w:r>
        <w:rPr>
          <w:rFonts w:ascii="Calibri" w:cs="Calibri" w:eastAsia="Calibri" w:hAnsi="Calibri"/>
        </w:rPr>
        <w:t xml:space="preserve">4.1 Mechanism</w:t>
      </w:r>
    </w:p>
    <w:p>
      <w:pPr>
        <w:spacing w:after="120" w:line="276"/>
      </w:pPr>
      <w:r>
        <w:rPr>
          <w:rFonts w:ascii="Calibri" w:cs="Calibri" w:eastAsia="Calibri" w:hAnsi="Calibri"/>
          <w:sz w:val="22"/>
          <w:szCs w:val="22"/>
        </w:rPr>
        <w:t xml:space="preserve">Serial subtraction is a working-memory-intensive arithmetic task. The triple-code account (Dehaene et al., 2003) assigns the quantity manipulation to the bilateral intraparietal sulcus, with the left angular gyrus for retrieved facts and the posterior superior parietal lobule for attentional shifts along the mental number line; meta-analyses of calculation add dorsolateral and ventrolateral prefrontal cortex, the anterior cingulate, the insula and the cerebellum (Arsalidou and Taylor, 2011). Subtraction specifically, as opposed to multiplication, relies more on quantity manipulation (intraparietal) than on rote verbal retrieval, which keeps its parietal component strong. The task also recruits the dorsal attention and cognitive-control networks continuously, because each intermediate result has to be held and updated.</w:t>
      </w:r>
    </w:p>
    <w:p>
      <w:pPr>
        <w:pStyle w:val="Heading2"/>
        <w:spacing w:before="240" w:after="120"/>
      </w:pPr>
      <w:r>
        <w:rPr>
          <w:rFonts w:ascii="Calibri" w:cs="Calibri" w:eastAsia="Calibri" w:hAnsi="Calibri"/>
        </w:rPr>
        <w:t xml:space="preserve">4.2 EEG signature</w:t>
      </w:r>
    </w:p>
    <w:p>
      <w:pPr>
        <w:pStyle w:val="ListParagraph"/>
        <w:numPr>
          <w:ilvl w:val="0"/>
          <w:numId w:val="2"/>
        </w:numPr>
        <w:spacing w:after="60" w:line="264"/>
      </w:pPr>
      <w:r>
        <w:rPr>
          <w:rFonts w:ascii="Calibri" w:cs="Calibri" w:eastAsia="Calibri" w:hAnsi="Calibri"/>
          <w:b/>
          <w:bCs/>
          <w:sz w:val="22"/>
          <w:szCs w:val="22"/>
        </w:rPr>
        <w:t xml:space="preserve">Frontal-midline theta increase (4–8 Hz, Fz/FCz): </w:t>
      </w:r>
      <w:r>
        <w:rPr>
          <w:rFonts w:ascii="Calibri" w:cs="Calibri" w:eastAsia="Calibri" w:hAnsi="Calibri"/>
          <w:sz w:val="22"/>
          <w:szCs w:val="22"/>
        </w:rPr>
        <w:t xml:space="preserve">the most consistent calculation signature. Its generator is the dorsal anterior cingulate and adjacent medial prefrontal cortex (Ishii et al., 2014, MEG beamforming during serial subtraction), and it scales with working-memory load and sustained attention (Sauseng et al., 2010). It is an increase against rest, in contrast to the decreases that characterise the other two tasks in alpha and beta.</w:t>
      </w:r>
    </w:p>
    <w:p>
      <w:pPr>
        <w:pStyle w:val="ListParagraph"/>
        <w:numPr>
          <w:ilvl w:val="0"/>
          <w:numId w:val="2"/>
        </w:numPr>
        <w:spacing w:after="60" w:line="264"/>
      </w:pPr>
      <w:r>
        <w:rPr>
          <w:rFonts w:ascii="Calibri" w:cs="Calibri" w:eastAsia="Calibri" w:hAnsi="Calibri"/>
          <w:b/>
          <w:bCs/>
          <w:sz w:val="22"/>
          <w:szCs w:val="22"/>
        </w:rPr>
        <w:t xml:space="preserve">Parietal and parieto-occipital alpha decrease: </w:t>
      </w:r>
      <w:r>
        <w:rPr>
          <w:rFonts w:ascii="Calibri" w:cs="Calibri" w:eastAsia="Calibri" w:hAnsi="Calibri"/>
          <w:sz w:val="22"/>
          <w:szCs w:val="22"/>
        </w:rPr>
        <w:t xml:space="preserve">widespread, often bilateral with a left-parietal emphasis for the arithmetic itself and right-parietal gamma increases for number-based spatial attention (Ishii et al., 2014; Harmony et al., 1999). Because the montage stops at PO7/PO8, this will appear mostly over P1–P6 and Pz.</w:t>
      </w:r>
    </w:p>
    <w:p>
      <w:pPr>
        <w:pStyle w:val="ListParagraph"/>
        <w:numPr>
          <w:ilvl w:val="0"/>
          <w:numId w:val="2"/>
        </w:numPr>
        <w:spacing w:after="60" w:line="264"/>
      </w:pPr>
      <w:r>
        <w:rPr>
          <w:rFonts w:ascii="Calibri" w:cs="Calibri" w:eastAsia="Calibri" w:hAnsi="Calibri"/>
          <w:b/>
          <w:bCs/>
          <w:sz w:val="22"/>
          <w:szCs w:val="22"/>
        </w:rPr>
        <w:t xml:space="preserve">Beta: </w:t>
      </w:r>
      <w:r>
        <w:rPr>
          <w:rFonts w:ascii="Calibri" w:cs="Calibri" w:eastAsia="Calibri" w:hAnsi="Calibri"/>
          <w:sz w:val="22"/>
          <w:szCs w:val="22"/>
        </w:rPr>
        <w:t xml:space="preserve">frontal and parietal beta decreases with task engagement; fronto-parietal coupling in theta, alpha and beta bands changes with arithmetic load. Sensorimotor mu over the hand areas tends to stay intact or even increase (ERS) during non-motor tasks, which is one of the main contrasts against motor imagery.</w:t>
      </w:r>
    </w:p>
    <w:p>
      <w:pPr>
        <w:pStyle w:val="ListParagraph"/>
        <w:numPr>
          <w:ilvl w:val="0"/>
          <w:numId w:val="2"/>
        </w:numPr>
        <w:spacing w:after="60" w:line="264"/>
      </w:pPr>
      <w:r>
        <w:rPr>
          <w:rFonts w:ascii="Calibri" w:cs="Calibri" w:eastAsia="Calibri" w:hAnsi="Calibri"/>
          <w:b/>
          <w:bCs/>
          <w:sz w:val="22"/>
          <w:szCs w:val="22"/>
        </w:rPr>
        <w:t xml:space="preserve">Time: </w:t>
      </w:r>
      <w:r>
        <w:rPr>
          <w:rFonts w:ascii="Calibri" w:cs="Calibri" w:eastAsia="Calibri" w:hAnsi="Calibri"/>
          <w:sz w:val="22"/>
          <w:szCs w:val="22"/>
        </w:rPr>
        <w:t xml:space="preserve">the theta increase and alpha decrease build over the first second and persist; load increases as intermediate results accumulate, so the second half of the window is, if anything, stronger. Eye movements and blinks are suppressed by most participants during fixation but not reliably; with no EOG channels, AF3/AF4 and the F row will carry whatever residual ocular activity exists.</w:t>
      </w:r>
    </w:p>
    <w:p>
      <w:pPr>
        <w:pStyle w:val="Heading2"/>
        <w:spacing w:before="240" w:after="120"/>
      </w:pPr>
      <w:r>
        <w:rPr>
          <w:rFonts w:ascii="Calibri" w:cs="Calibri" w:eastAsia="Calibri" w:hAnsi="Calibri"/>
        </w:rPr>
        <w:t xml:space="preserve">4.3 Variability</w:t>
      </w:r>
    </w:p>
    <w:p>
      <w:pPr>
        <w:spacing w:after="120" w:line="276"/>
      </w:pPr>
      <w:r>
        <w:rPr>
          <w:rFonts w:ascii="Calibri" w:cs="Calibri" w:eastAsia="Calibri" w:hAnsi="Calibri"/>
          <w:sz w:val="22"/>
          <w:szCs w:val="22"/>
        </w:rPr>
        <w:t xml:space="preserve">Mental arithmetic is a robust task across people: nearly everyone produces frontal-midline theta and parietal alpha ERD, which is why the Graz group found brain-teaser tasks to classify well in users who could not produce usable motor imagery (Scherer et al., 2015). The signature's strength depends on arithmetic skill and strategy; the amplitude of frontal theta and the degree of fronto-parietal decoupling differ between good and poor calculators. Those are between-person scale differences, not topographic ones, and alignment should absorb most of them.</w:t>
      </w:r>
    </w:p>
    <w:p>
      <w:pPr>
        <w:pStyle w:val="Heading1"/>
        <w:spacing w:before="360" w:after="160"/>
      </w:pPr>
      <w:r>
        <w:rPr>
          <w:rFonts w:ascii="Calibri" w:cs="Calibri" w:eastAsia="Calibri" w:hAnsi="Calibri"/>
        </w:rPr>
        <w:t xml:space="preserve">5. Covert word generation from a letter</w:t>
      </w:r>
    </w:p>
    <w:p>
      <w:pPr>
        <w:pStyle w:val="Heading2"/>
        <w:spacing w:before="240" w:after="120"/>
      </w:pPr>
      <w:r>
        <w:rPr>
          <w:rFonts w:ascii="Calibri" w:cs="Calibri" w:eastAsia="Calibri" w:hAnsi="Calibri"/>
        </w:rPr>
        <w:t xml:space="preserve">5.1 Mechanism</w:t>
      </w:r>
    </w:p>
    <w:p>
      <w:pPr>
        <w:spacing w:after="120" w:line="276"/>
      </w:pPr>
      <w:r>
        <w:rPr>
          <w:rFonts w:ascii="Calibri" w:cs="Calibri" w:eastAsia="Calibri" w:hAnsi="Calibri"/>
          <w:sz w:val="22"/>
          <w:szCs w:val="22"/>
        </w:rPr>
        <w:t xml:space="preserve">Phonemic fluency (words beginning with a given letter) is a lexical search driven by phonological form rather than meaning. fMRI meta-analyses of verbal fluency (Wagner et al., 2014) and studies of covert generation under phonemic cues locate it in the left inferior frontal gyrus (Broca's area, pars opercularis and triangularis), the left dorsolateral prefrontal cortex, the anterior cingulate and pre-supplementary motor area, the left insula, and left posterior temporal regions, with phonemic cues engaging the left frontal network more selectively than semantic cues. Word production, even covert, also engages the articulatory sensorimotor cortex at the ventral end of the central sulcus (lips, tongue, larynx, jaw; Bouchard et al., 2013), where imagined and actual articulation overlap. In Indefrey and Levelt's (2004) time course, lemma selection, phonological encoding and syllabification occupy roughly 150–450 ms per word; a fluency trial is a sequence of such retrievals interleaved with search, so the response is bursty rather than steady.</w:t>
      </w:r>
    </w:p>
    <w:p>
      <w:pPr>
        <w:pStyle w:val="Heading2"/>
        <w:spacing w:before="240" w:after="120"/>
      </w:pPr>
      <w:r>
        <w:rPr>
          <w:rFonts w:ascii="Calibri" w:cs="Calibri" w:eastAsia="Calibri" w:hAnsi="Calibri"/>
        </w:rPr>
        <w:t xml:space="preserve">5.2 EEG signature</w:t>
      </w:r>
    </w:p>
    <w:p>
      <w:pPr>
        <w:pStyle w:val="ListParagraph"/>
        <w:numPr>
          <w:ilvl w:val="0"/>
          <w:numId w:val="2"/>
        </w:numPr>
        <w:spacing w:after="60" w:line="264"/>
      </w:pPr>
      <w:r>
        <w:rPr>
          <w:rFonts w:ascii="Calibri" w:cs="Calibri" w:eastAsia="Calibri" w:hAnsi="Calibri"/>
          <w:b/>
          <w:bCs/>
          <w:sz w:val="22"/>
          <w:szCs w:val="22"/>
        </w:rPr>
        <w:t xml:space="preserve">Space: </w:t>
      </w:r>
      <w:r>
        <w:rPr>
          <w:rFonts w:ascii="Calibri" w:cs="Calibri" w:eastAsia="Calibri" w:hAnsi="Calibri"/>
          <w:sz w:val="22"/>
          <w:szCs w:val="22"/>
        </w:rPr>
        <w:t xml:space="preserve">left-lateralised fronto-temporal activity. On this montage the relevant electrodes are F5, FC5, F3, FC3, C5, CP5 and TP7, with their right-hemisphere counterparts as the reference for a laterality contrast. The anterior cingulate and pre-SMA contribution shows up as frontal-midline theta similar to, but usually weaker than, the subtraction signature.</w:t>
      </w:r>
    </w:p>
    <w:p>
      <w:pPr>
        <w:pStyle w:val="ListParagraph"/>
        <w:numPr>
          <w:ilvl w:val="0"/>
          <w:numId w:val="2"/>
        </w:numPr>
        <w:spacing w:after="60" w:line="264"/>
      </w:pPr>
      <w:r>
        <w:rPr>
          <w:rFonts w:ascii="Calibri" w:cs="Calibri" w:eastAsia="Calibri" w:hAnsi="Calibri"/>
          <w:b/>
          <w:bCs/>
          <w:sz w:val="22"/>
          <w:szCs w:val="22"/>
        </w:rPr>
        <w:t xml:space="preserve">Frequency: </w:t>
      </w:r>
      <w:r>
        <w:rPr>
          <w:rFonts w:ascii="Calibri" w:cs="Calibri" w:eastAsia="Calibri" w:hAnsi="Calibri"/>
          <w:sz w:val="22"/>
          <w:szCs w:val="22"/>
        </w:rPr>
        <w:t xml:space="preserve">alpha and beta decreases over left frontal and fronto-temporal cortex during lexical retrieval and covert naming (beta decreases track both memory retrieval and the motor side of word production; Piai et al., 2015), with gamma increases in the left inferior frontal gyrus reported in intracranial and some scalp work. Over ventral sensorimotor cortex, mu and beta ERD accompany covert articulation, left more than right. Scalp EEG decoding of imagined speech content remains weak (Panachakel and Ramakrishnan, 2021), but detecting that a fluency task is under way, as opposed to arithmetic or hand imagery, is a far easier contrast.</w:t>
      </w:r>
    </w:p>
    <w:p>
      <w:pPr>
        <w:pStyle w:val="ListParagraph"/>
        <w:numPr>
          <w:ilvl w:val="0"/>
          <w:numId w:val="2"/>
        </w:numPr>
        <w:spacing w:after="60" w:line="264"/>
      </w:pPr>
      <w:r>
        <w:rPr>
          <w:rFonts w:ascii="Calibri" w:cs="Calibri" w:eastAsia="Calibri" w:hAnsi="Calibri"/>
          <w:b/>
          <w:bCs/>
          <w:sz w:val="22"/>
          <w:szCs w:val="22"/>
        </w:rPr>
        <w:t xml:space="preserve">Time: </w:t>
      </w:r>
      <w:r>
        <w:rPr>
          <w:rFonts w:ascii="Calibri" w:cs="Calibri" w:eastAsia="Calibri" w:hAnsi="Calibri"/>
          <w:sz w:val="22"/>
          <w:szCs w:val="22"/>
        </w:rPr>
        <w:t xml:space="preserve">bursts time-locked to each retrieved word, superimposed on a sustained left-frontal alpha/beta ERD and a sustained attentional posterior alpha decrease. Retrieval rate falls over a trial as easy words are exhausted, so the first seconds carry more activity than the last; this is the opposite of subtraction's ramp.</w:t>
      </w:r>
    </w:p>
    <w:p>
      <w:pPr>
        <w:pStyle w:val="Heading2"/>
        <w:spacing w:before="240" w:after="120"/>
      </w:pPr>
      <w:r>
        <w:rPr>
          <w:rFonts w:ascii="Calibri" w:cs="Calibri" w:eastAsia="Calibri" w:hAnsi="Calibri"/>
        </w:rPr>
        <w:t xml:space="preserve">5.3 Confounds specific to this task</w:t>
      </w:r>
    </w:p>
    <w:p>
      <w:pPr>
        <w:spacing w:after="120" w:line="276"/>
      </w:pPr>
      <w:r>
        <w:rPr>
          <w:rFonts w:ascii="Calibri" w:cs="Calibri" w:eastAsia="Calibri" w:hAnsi="Calibri"/>
          <w:sz w:val="22"/>
          <w:szCs w:val="22"/>
        </w:rPr>
        <w:t xml:space="preserve">Covert speech is accompanied in some people by subvocal muscle activity (lips, tongue, jaw) and by eye movements, both of which reach the EEG as broadband and low-frequency artefact. The competition supplies no EMG or EOG channels and applies no artefact rejection, and the prior activation analysis on the Scherer stand-in showed early frontal slow activity consistent with eye movement. A decoder trained on raw microvolt input can latch onto these artefacts; they may even be class-informative, but they are unlikely to be stable across people or sessions, and the 4–45 Hz filter bank excludes most of the low-frequency ocular component by construction. Temporal-muscle EMG (20–100 Hz) over TP7/TP8 and FC5/FC6 is the more insidious contaminant and overlaps the beta and gamma bands.</w:t>
      </w:r>
    </w:p>
    <w:p>
      <w:pPr>
        <w:pStyle w:val="Heading1"/>
        <w:spacing w:before="360" w:after="160"/>
      </w:pPr>
      <w:r>
        <w:rPr>
          <w:rFonts w:ascii="Calibri" w:cs="Calibri" w:eastAsia="Calibri" w:hAnsi="Calibri"/>
        </w:rPr>
        <w:t xml:space="preserve">6. The three tasks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tblHeader/>
        </w:trPr>
        <w:tc>
          <w:tcPr>
            <w:tcW w:type="dxa" w:w="1900"/>
            <w:tcBorders>
              <w:top w:val="single" w:color="BFBFBF" w:sz="4"/>
              <w:left w:val="single" w:color="BFBFBF" w:sz="4"/>
              <w:bottom w:val="single" w:color="BFBFBF" w:sz="4"/>
              <w:right w:val="single" w:color="BFBFBF" w:sz="4"/>
            </w:tcBorders>
            <w:shd w:fill="E7EEF5"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
            </w:r>
          </w:p>
        </w:tc>
        <w:tc>
          <w:tcPr>
            <w:tcW w:type="dxa" w:w="2400"/>
            <w:tcBorders>
              <w:top w:val="single" w:color="BFBFBF" w:sz="4"/>
              <w:left w:val="single" w:color="BFBFBF" w:sz="4"/>
              <w:bottom w:val="single" w:color="BFBFBF" w:sz="4"/>
              <w:right w:val="single" w:color="BFBFBF" w:sz="4"/>
            </w:tcBorders>
            <w:shd w:fill="E7EEF5"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Motor imagery (mi)</w:t>
            </w:r>
          </w:p>
        </w:tc>
        <w:tc>
          <w:tcPr>
            <w:tcW w:type="dxa" w:w="2400"/>
            <w:tcBorders>
              <w:top w:val="single" w:color="BFBFBF" w:sz="4"/>
              <w:left w:val="single" w:color="BFBFBF" w:sz="4"/>
              <w:bottom w:val="single" w:color="BFBFBF" w:sz="4"/>
              <w:right w:val="single" w:color="BFBFBF" w:sz="4"/>
            </w:tcBorders>
            <w:shd w:fill="E7EEF5"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Mental subtraction (sub)</w:t>
            </w:r>
          </w:p>
        </w:tc>
        <w:tc>
          <w:tcPr>
            <w:tcW w:type="dxa" w:w="2660"/>
            <w:tcBorders>
              <w:top w:val="single" w:color="BFBFBF" w:sz="4"/>
              <w:left w:val="single" w:color="BFBFBF" w:sz="4"/>
              <w:bottom w:val="single" w:color="BFBFBF" w:sz="4"/>
              <w:right w:val="single" w:color="BFBFBF" w:sz="4"/>
            </w:tcBorders>
            <w:shd w:fill="E7EEF5" w:color="auto" w:val="clear"/>
            <w:tcMar>
              <w:top w:type="dxa" w:w="60"/>
              <w:left w:type="dxa" w:w="90"/>
              <w:bottom w:type="dxa" w:w="60"/>
              <w:right w:type="dxa" w:w="90"/>
            </w:tcMar>
          </w:tcPr>
          <w:p>
            <w:pPr>
              <w:spacing w:after="0" w:line="252"/>
            </w:pPr>
            <w:r>
              <w:rPr>
                <w:rFonts w:ascii="Calibri" w:cs="Calibri" w:eastAsia="Calibri" w:hAnsi="Calibri"/>
                <w:b/>
                <w:bCs/>
                <w:sz w:val="19"/>
                <w:szCs w:val="19"/>
              </w:rPr>
              <w:t xml:space="preserve">Word generation (word)</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Core network</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premotor, SMA, S1/M1 hand area, posterior parietal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intraparietal sulcus, dlPFC, anterior cingulate, insula</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left IFG, left dlPFC, pre-SMA / ACC, left posterior temporal, ventral sensorimotor</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Scalp focus (this montage)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C4/CP4/FC4 (left hand) or C3 cluster (right hand)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Fz/FCz (theta); P1–P6, Pz (alpha)</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F5/FC5/F3/FC3, C5/CP5/TP7</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Direction and band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mu and beta decrease (ERD), contralateral; surround/ipsilateral ERS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theta increase (fm-theta); alpha and beta decrease, parietal</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alpha and beta decrease, left frontal; theta increase, weaker</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Laterality</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strongly lateralised, side depends on handedness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bilateral, mild left-parietal emphasis</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strongly left-lateralised in nearly everyone</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Time course in +1 to +5 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plateau, sustained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sustained, ramps with load</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bursty, strongest early</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Reliability across people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lowest (15–30 % without usable ERD)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high</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high</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Main confound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visual feedback alpha ERD after +3 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ocular activity (no EOG)</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subvocal EMG, eye movements</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Hand-area mu</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ERD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intact or ERS</w:t>
            </w:r>
          </w:p>
        </w:tc>
        <w:tc>
          <w:tcPr>
            <w:tcW w:type="dxa" w:w="2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2"/>
            </w:pPr>
            <w:r>
              <w:rPr>
                <w:rFonts w:ascii="Calibri" w:cs="Calibri" w:eastAsia="Calibri" w:hAnsi="Calibri"/>
                <w:b w:val="false"/>
                <w:bCs w:val="false"/>
                <w:sz w:val="19"/>
                <w:szCs w:val="19"/>
              </w:rPr>
              <w:t xml:space="preserve">intact (ventral, not dorsal, sensorimotor engaged)</w:t>
            </w:r>
          </w:p>
        </w:tc>
      </w:tr>
    </w:tbl>
    <w:p>
      <w:pPr>
        <w:spacing w:after="120"/>
      </w:pPr>
    </w:p>
    <w:p>
      <w:pPr>
        <w:spacing w:after="120" w:line="276"/>
      </w:pPr>
      <w:r>
        <w:rPr>
          <w:rFonts w:ascii="Calibri" w:cs="Calibri" w:eastAsia="Calibri" w:hAnsi="Calibri"/>
          <w:sz w:val="22"/>
          <w:szCs w:val="22"/>
        </w:rPr>
        <w:t xml:space="preserve">The contrasts that a classifier can use are therefore threefold and largely orthogonal: hand-area mu/beta ERD separates mi from both others; frontal-midline theta and parietal alpha separate sub from the rest; left-frontal alpha/beta and ventral sensorimotor activity separate word. This is the rationale of the Graz task-selection studies (Friedrich et al., 2012, 2013; Scherer et al., 2015): combining a dynamic imagery task with brain-teaser tasks produced higher and more robust accuracies than two motor-imagery tasks, especially in users with weak sensorimotor rhythms, and the most frequently selected individual combinations contained exactly one hand-imagery task and one brain-teaser such as subtraction or word association. The earlier activation analysis on the Scherer 3-class stand-in (word association, subtraction, hand imagery) in this project agrees: posterior-right alpha after about 1.5 s, a word-association beta decrease at F3, and strong within-person but divergent between-person differences.</w:t>
      </w:r>
    </w:p>
    <w:p>
      <w:pPr>
        <w:pStyle w:val="Heading1"/>
        <w:spacing w:before="360" w:after="160"/>
      </w:pPr>
      <w:r>
        <w:rPr>
          <w:rFonts w:ascii="Calibri" w:cs="Calibri" w:eastAsia="Calibri" w:hAnsi="Calibri"/>
        </w:rPr>
        <w:t xml:space="preserve">7. What all three tasks share, and what the interfaces add</w:t>
      </w:r>
    </w:p>
    <w:p>
      <w:pPr>
        <w:spacing w:after="120" w:line="276"/>
      </w:pPr>
      <w:r>
        <w:rPr>
          <w:rFonts w:ascii="Calibri" w:cs="Calibri" w:eastAsia="Calibri" w:hAnsi="Calibri"/>
          <w:sz w:val="22"/>
          <w:szCs w:val="22"/>
        </w:rPr>
        <w:t xml:space="preserve">Every trial is an effortful, cued, fixated, feedback-monitored task. Shared components therefore include a frontal-midline theta increase of attention (strongest for subtraction but present in all), a posterior alpha decrease of visual attention to the screen, a cue-evoked potential in the first second (mostly outside the window), and after +3 s the visual and evaluative response to the feedback. None of these separates the classes in calibration runs; in online runs the feedback-related response is label-correlated by construction. The two interfaces add their own components: the Graz beep produces an auditory evoked response at −0.5 s (outside the window) and the bar feedback a modest, steady visual input; BrainHero's game feedback is richer visually and more rewarding, which plausibly increases posterior alpha ERD and reward-related frontal theta in the second half of the window. These interface differences are why the metric scores Graz and BrainHero cells separately and why context-aware alignment is on the ablation list.</w:t>
      </w:r>
    </w:p>
    <w:p>
      <w:pPr>
        <w:spacing w:after="120" w:line="276"/>
      </w:pPr>
      <w:r>
        <w:rPr>
          <w:rFonts w:ascii="Calibri" w:cs="Calibri" w:eastAsia="Calibri" w:hAnsi="Calibri"/>
          <w:sz w:val="22"/>
          <w:szCs w:val="22"/>
        </w:rPr>
        <w:t xml:space="preserve">Session-to-session non-stationarity has three sources: the recording (cap position, impedances, the single-mastoid reference, ambient noise), the state of the person (vigilance, fatigue, motivation, caffeine), and learning (clearer, more focal ERD with practice; strategy changes in the two cognitive tasks). Within a session, fatigue and habituation make the second half noisier than the first. All three sources change the covariance structure more than they change the spatial-spectral pattern of the task contrast, which is the premise of covariance alignment and of online re-centring.</w:t>
      </w:r>
    </w:p>
    <w:p>
      <w:pPr>
        <w:pStyle w:val="Heading1"/>
        <w:spacing w:before="360" w:after="160"/>
      </w:pPr>
      <w:r>
        <w:rPr>
          <w:rFonts w:ascii="Calibri" w:cs="Calibri" w:eastAsia="Calibri" w:hAnsi="Calibri"/>
        </w:rPr>
        <w:t xml:space="preserve">8. Implications for the decoder</w:t>
      </w:r>
    </w:p>
    <w:p>
      <w:pPr>
        <w:spacing w:after="120" w:line="276"/>
      </w:pPr>
      <w:r>
        <w:rPr>
          <w:rFonts w:ascii="Calibri" w:cs="Calibri" w:eastAsia="Calibri" w:hAnsi="Calibri"/>
          <w:sz w:val="22"/>
          <w:szCs w:val="22"/>
        </w:rPr>
        <w:t xml:space="preserve">The points below translate the physiology into choices for the Riemannian pipeline and its alternatives. They are stated as hypotheses to test on the four local protocols, not as settled decisions; the decision rules are in RELEASE_DAY.md, section 5.</w:t>
      </w:r>
    </w:p>
    <w:p>
      <w:pPr>
        <w:pStyle w:val="ListParagraph"/>
        <w:numPr>
          <w:ilvl w:val="0"/>
          <w:numId w:val="3"/>
        </w:numPr>
        <w:spacing w:after="60" w:line="264"/>
      </w:pPr>
      <w:r>
        <w:rPr>
          <w:rFonts w:ascii="Calibri" w:cs="Calibri" w:eastAsia="Calibri" w:hAnsi="Calibri"/>
          <w:b/>
          <w:bCs/>
          <w:sz w:val="22"/>
          <w:szCs w:val="22"/>
        </w:rPr>
        <w:t xml:space="preserve">Keep the band structure. </w:t>
      </w:r>
      <w:r>
        <w:rPr>
          <w:rFonts w:ascii="Calibri" w:cs="Calibri" w:eastAsia="Calibri" w:hAnsi="Calibri"/>
          <w:sz w:val="22"/>
          <w:szCs w:val="22"/>
        </w:rPr>
        <w:t xml:space="preserve">The 4–8, 8–13, 13–30, 30–45 Hz filter bank maps onto frontal-midline theta, mu/alpha, beta and a gamma/EMG band respectively. Each task's primary contrast lives in a different band, so band-wise covariances are the right primitive. A band below 4 Hz should not be added while there is no EOG channel.</w:t>
      </w:r>
    </w:p>
    <w:p>
      <w:pPr>
        <w:pStyle w:val="ListParagraph"/>
        <w:numPr>
          <w:ilvl w:val="0"/>
          <w:numId w:val="3"/>
        </w:numPr>
        <w:spacing w:after="60" w:line="264"/>
      </w:pPr>
      <w:r>
        <w:rPr>
          <w:rFonts w:ascii="Calibri" w:cs="Calibri" w:eastAsia="Calibri" w:hAnsi="Calibri"/>
          <w:b/>
          <w:bCs/>
          <w:sz w:val="22"/>
          <w:szCs w:val="22"/>
        </w:rPr>
        <w:t xml:space="preserve">Keep the 1-second time bins (bpt4). </w:t>
      </w:r>
      <w:r>
        <w:rPr>
          <w:rFonts w:ascii="Calibri" w:cs="Calibri" w:eastAsia="Calibri" w:hAnsi="Calibri"/>
          <w:sz w:val="22"/>
          <w:szCs w:val="22"/>
        </w:rPr>
        <w:t xml:space="preserve">The three tasks differ in time course (plateau, ramp, early burst), and the bins split the window at feedback onset. The two pre-feedback bins are the cleanest class information in calibration runs; the two post-feedback bins carry the label-correlated feedback response in online runs. Reporting calibration-run and online-run cells separately will show how much the model leans on the latter.</w:t>
      </w:r>
    </w:p>
    <w:p>
      <w:pPr>
        <w:pStyle w:val="ListParagraph"/>
        <w:numPr>
          <w:ilvl w:val="0"/>
          <w:numId w:val="3"/>
        </w:numPr>
        <w:spacing w:after="60" w:line="264"/>
      </w:pPr>
      <w:r>
        <w:rPr>
          <w:rFonts w:ascii="Calibri" w:cs="Calibri" w:eastAsia="Calibri" w:hAnsi="Calibri"/>
          <w:b/>
          <w:bCs/>
          <w:sz w:val="22"/>
          <w:szCs w:val="22"/>
        </w:rPr>
        <w:t xml:space="preserve">Prefer symmetric spatial features for unseen people. </w:t>
      </w:r>
      <w:r>
        <w:rPr>
          <w:rFonts w:ascii="Calibri" w:cs="Calibri" w:eastAsia="Calibri" w:hAnsi="Calibri"/>
          <w:sz w:val="22"/>
          <w:szCs w:val="22"/>
        </w:rPr>
        <w:t xml:space="preserve">Hemispheric laterality is the strongest MI cue, but its side is unknown for a person the model has never seen. Full-montage covariances and tangent-space features are symmetric by construction; hand-crafted left-minus-right features should be added only with a per-person side estimate, which an unseen stream can only supply after enough mi-like windows have arrived.</w:t>
      </w:r>
    </w:p>
    <w:p>
      <w:pPr>
        <w:pStyle w:val="ListParagraph"/>
        <w:numPr>
          <w:ilvl w:val="0"/>
          <w:numId w:val="3"/>
        </w:numPr>
        <w:spacing w:after="60" w:line="264"/>
      </w:pPr>
      <w:r>
        <w:rPr>
          <w:rFonts w:ascii="Calibri" w:cs="Calibri" w:eastAsia="Calibri" w:hAnsi="Calibri"/>
          <w:b/>
          <w:bCs/>
          <w:sz w:val="22"/>
          <w:szCs w:val="22"/>
        </w:rPr>
        <w:t xml:space="preserve">Treat alignment as the main cross-person lever, and protect the task contrast. </w:t>
      </w:r>
      <w:r>
        <w:rPr>
          <w:rFonts w:ascii="Calibri" w:cs="Calibri" w:eastAsia="Calibri" w:hAnsi="Calibri"/>
          <w:sz w:val="22"/>
          <w:szCs w:val="22"/>
        </w:rPr>
        <w:t xml:space="preserve">Whitening by a person's or a session's mean covariance removes head geometry, reference and impedance effects, which are larger than the task effect. Online re-centring estimates that mean from the stream itself and is now allowed. The reference should be built from all classes equally (the stream is balanced) and should be stable before it is trusted: a warm-up rule that blends the running mean with the global one until a few dozen windows have arrived.</w:t>
      </w:r>
    </w:p>
    <w:p>
      <w:pPr>
        <w:pStyle w:val="ListParagraph"/>
        <w:numPr>
          <w:ilvl w:val="0"/>
          <w:numId w:val="3"/>
        </w:numPr>
        <w:spacing w:after="60" w:line="264"/>
      </w:pPr>
      <w:r>
        <w:rPr>
          <w:rFonts w:ascii="Calibri" w:cs="Calibri" w:eastAsia="Calibri" w:hAnsi="Calibri"/>
          <w:b/>
          <w:bCs/>
          <w:sz w:val="22"/>
          <w:szCs w:val="22"/>
        </w:rPr>
        <w:t xml:space="preserve">Re-test the reference. </w:t>
      </w:r>
      <w:r>
        <w:rPr>
          <w:rFonts w:ascii="Calibri" w:cs="Calibri" w:eastAsia="Calibri" w:hAnsi="Calibri"/>
          <w:sz w:val="22"/>
          <w:szCs w:val="22"/>
        </w:rPr>
        <w:t xml:space="preserve">With a left-mastoid reference every channel carries a left-weighted common signal, which spreads left fronto-temporal word-generation activity and right-hemisphere MI activity differently. Common average reference and a small Laplacian are cheap ablations; the earlier "no gain" came from differently referenced data.</w:t>
      </w:r>
    </w:p>
    <w:p>
      <w:pPr>
        <w:pStyle w:val="ListParagraph"/>
        <w:numPr>
          <w:ilvl w:val="0"/>
          <w:numId w:val="3"/>
        </w:numPr>
        <w:spacing w:after="60" w:line="264"/>
      </w:pPr>
      <w:r>
        <w:rPr>
          <w:rFonts w:ascii="Calibri" w:cs="Calibri" w:eastAsia="Calibri" w:hAnsi="Calibri"/>
          <w:b/>
          <w:bCs/>
          <w:sz w:val="22"/>
          <w:szCs w:val="22"/>
        </w:rPr>
        <w:t xml:space="preserve">Decide xDAWN on evidence from calibration runs. </w:t>
      </w:r>
      <w:r>
        <w:rPr>
          <w:rFonts w:ascii="Calibri" w:cs="Calibri" w:eastAsia="Calibri" w:hAnsi="Calibri"/>
          <w:sz w:val="22"/>
          <w:szCs w:val="22"/>
        </w:rPr>
        <w:t xml:space="preserve">xDAWN assumes a class-specific evoked response. Within the window the only strong evoked event is feedback onset, which is class-correlated only in online runs. If xDAWN helps online cells but not calibration cells, it is reading the feedback, and the first 70 windows of every sealed stream are calibration trials.</w:t>
      </w:r>
    </w:p>
    <w:p>
      <w:pPr>
        <w:pStyle w:val="ListParagraph"/>
        <w:numPr>
          <w:ilvl w:val="0"/>
          <w:numId w:val="3"/>
        </w:numPr>
        <w:spacing w:after="60" w:line="264"/>
      </w:pPr>
      <w:r>
        <w:rPr>
          <w:rFonts w:ascii="Calibri" w:cs="Calibri" w:eastAsia="Calibri" w:hAnsi="Calibri"/>
          <w:b/>
          <w:bCs/>
          <w:sz w:val="22"/>
          <w:szCs w:val="22"/>
        </w:rPr>
        <w:t xml:space="preserve">Expect, and plan for, MI dropouts. </w:t>
      </w:r>
      <w:r>
        <w:rPr>
          <w:rFonts w:ascii="Calibri" w:cs="Calibri" w:eastAsia="Calibri" w:hAnsi="Calibri"/>
          <w:sz w:val="22"/>
          <w:szCs w:val="22"/>
        </w:rPr>
        <w:t xml:space="preserve">Some people will show no usable hand-area ERD. For them the three-class problem collapses towards a two-way decision (sub versus word) plus a residual class. A decoder whose class-conditional models are too rigid will mislabel their mi trials as word; shrinkage and the pooled prior help, and the cell metric rewards getting the two reliable classes right even when the third is weak.</w:t>
      </w:r>
    </w:p>
    <w:p>
      <w:pPr>
        <w:pStyle w:val="ListParagraph"/>
        <w:numPr>
          <w:ilvl w:val="0"/>
          <w:numId w:val="3"/>
        </w:numPr>
        <w:spacing w:after="60" w:line="264"/>
      </w:pPr>
      <w:r>
        <w:rPr>
          <w:rFonts w:ascii="Calibri" w:cs="Calibri" w:eastAsia="Calibri" w:hAnsi="Calibri"/>
          <w:b/>
          <w:bCs/>
          <w:sz w:val="22"/>
          <w:szCs w:val="22"/>
        </w:rPr>
        <w:t xml:space="preserve">Handle amplitude without an EOG. </w:t>
      </w:r>
      <w:r>
        <w:rPr>
          <w:rFonts w:ascii="Calibri" w:cs="Calibri" w:eastAsia="Calibri" w:hAnsi="Calibri"/>
          <w:sz w:val="22"/>
          <w:szCs w:val="22"/>
        </w:rPr>
        <w:t xml:space="preserve">A third of windows exceed 200 µV somewhere, with excursions to 4,000 µV, most likely ocular and movement artefact over the AF/F row. Covariance estimators are sensitive to such excursions. Per-window robust scaling or a robust covariance estimator is worth one ablation; so is checking whether the extreme windows concentrate in one class or one run type.</w:t>
      </w:r>
    </w:p>
    <w:p>
      <w:pPr>
        <w:pStyle w:val="ListParagraph"/>
        <w:numPr>
          <w:ilvl w:val="0"/>
          <w:numId w:val="3"/>
        </w:numPr>
        <w:spacing w:after="60" w:line="264"/>
      </w:pPr>
      <w:r>
        <w:rPr>
          <w:rFonts w:ascii="Calibri" w:cs="Calibri" w:eastAsia="Calibri" w:hAnsi="Calibri"/>
          <w:b/>
          <w:bCs/>
          <w:sz w:val="22"/>
          <w:szCs w:val="22"/>
        </w:rPr>
        <w:t xml:space="preserve">Use the resting runs for what they are good for. </w:t>
      </w:r>
      <w:r>
        <w:rPr>
          <w:rFonts w:ascii="Calibri" w:cs="Calibri" w:eastAsia="Calibri" w:hAnsi="Calibri"/>
          <w:sz w:val="22"/>
          <w:szCs w:val="22"/>
        </w:rPr>
        <w:t xml:space="preserve">The eyes-open and eyes-closed baselines are public and may be used. They give each person's resting mu and alpha amplitude (a known predictor of MI-BCI aptitude), a clean person-specific covariance reference, and a way to express every trial as ERD relative to rest, which is the physiologically meaningful scale. They are not available for unseen people at test time, so anything built on them must degrade gracefully to a stream-estimated reference.</w:t>
      </w:r>
    </w:p>
    <w:p>
      <w:pPr>
        <w:pStyle w:val="ListParagraph"/>
        <w:numPr>
          <w:ilvl w:val="0"/>
          <w:numId w:val="3"/>
        </w:numPr>
        <w:spacing w:after="60" w:line="264"/>
      </w:pPr>
      <w:r>
        <w:rPr>
          <w:rFonts w:ascii="Calibri" w:cs="Calibri" w:eastAsia="Calibri" w:hAnsi="Calibri"/>
          <w:b/>
          <w:bCs/>
          <w:sz w:val="22"/>
          <w:szCs w:val="22"/>
        </w:rPr>
        <w:t xml:space="preserve">Keep deep models honest. </w:t>
      </w:r>
      <w:r>
        <w:rPr>
          <w:rFonts w:ascii="Calibri" w:cs="Calibri" w:eastAsia="Calibri" w:hAnsi="Calibri"/>
          <w:sz w:val="22"/>
          <w:szCs w:val="22"/>
        </w:rPr>
        <w:t xml:space="preserve">The organisers' EEGNet, CTNet and REVE sit at chance cross-subject on this data. With 2,655 windows from 10 people, a convolutional model will fit person identity and artefact before it fits the task contrast unless it is fed aligned, standardised input and regularised towards the known spatial-spectral structure. It remains a candidate ensemble member, not a candidate on its own.</w:t>
      </w:r>
    </w:p>
    <w:p>
      <w:pPr>
        <w:pStyle w:val="Heading1"/>
        <w:spacing w:before="360" w:after="160"/>
      </w:pPr>
      <w:r>
        <w:rPr>
          <w:rFonts w:ascii="Calibri" w:cs="Calibri" w:eastAsia="Calibri" w:hAnsi="Calibri"/>
        </w:rPr>
        <w:t xml:space="preserve">9. Checks to run on the data before trusting any of this</w:t>
      </w:r>
    </w:p>
    <w:p>
      <w:pPr>
        <w:spacing w:after="120" w:line="276"/>
      </w:pPr>
      <w:r>
        <w:rPr>
          <w:rFonts w:ascii="Calibri" w:cs="Calibri" w:eastAsia="Calibri" w:hAnsi="Calibri"/>
          <w:sz w:val="22"/>
          <w:szCs w:val="22"/>
        </w:rPr>
        <w:t xml:space="preserve">Each of the statements above is a prior. The release makes the following checks cheap (minutes each on the raw BIDS files or the window cache), and together they turn the priors into measured facts for these ten people:</w:t>
      </w:r>
    </w:p>
    <w:p>
      <w:pPr>
        <w:pStyle w:val="ListParagraph"/>
        <w:numPr>
          <w:ilvl w:val="0"/>
          <w:numId w:val="2"/>
        </w:numPr>
        <w:spacing w:after="60" w:line="264"/>
      </w:pPr>
      <w:r>
        <w:rPr>
          <w:rFonts w:ascii="Calibri" w:cs="Calibri" w:eastAsia="Calibri" w:hAnsi="Calibri"/>
          <w:sz w:val="22"/>
          <w:szCs w:val="22"/>
        </w:rPr>
        <w:t xml:space="preserve">Per-person, per-task ERD/ERS maps: band power in the +1 to +5 s window relative to the second before the cue, for theta, mu/alpha, beta and gamma, on all 41 channels. Expected: C3/C4 mu-beta ERD for mi; Fz/FCz theta increase and parietal alpha ERD for sub; F5/FC5 alpha-beta ERD for word.</w:t>
      </w:r>
    </w:p>
    <w:p>
      <w:pPr>
        <w:pStyle w:val="ListParagraph"/>
        <w:numPr>
          <w:ilvl w:val="0"/>
          <w:numId w:val="2"/>
        </w:numPr>
        <w:spacing w:after="60" w:line="264"/>
      </w:pPr>
      <w:r>
        <w:rPr>
          <w:rFonts w:ascii="Calibri" w:cs="Calibri" w:eastAsia="Calibri" w:hAnsi="Calibri"/>
          <w:sz w:val="22"/>
          <w:szCs w:val="22"/>
        </w:rPr>
        <w:t xml:space="preserve">The side of the hand-area ERD per person (sign of C3 minus C4 in mu and beta during mi), and whether any person shows no hand-area ERD at all.</w:t>
      </w:r>
    </w:p>
    <w:p>
      <w:pPr>
        <w:pStyle w:val="ListParagraph"/>
        <w:numPr>
          <w:ilvl w:val="0"/>
          <w:numId w:val="2"/>
        </w:numPr>
        <w:spacing w:after="60" w:line="264"/>
      </w:pPr>
      <w:r>
        <w:rPr>
          <w:rFonts w:ascii="Calibri" w:cs="Calibri" w:eastAsia="Calibri" w:hAnsi="Calibri"/>
          <w:sz w:val="22"/>
          <w:szCs w:val="22"/>
        </w:rPr>
        <w:t xml:space="preserve">The same maps split by run type (calibration versus online) and by interface (Graz versus BrainHero), and by half-window (+1 to +3 versus +3 to +5 s), to measure the feedback effect directly.</w:t>
      </w:r>
    </w:p>
    <w:p>
      <w:pPr>
        <w:pStyle w:val="ListParagraph"/>
        <w:numPr>
          <w:ilvl w:val="0"/>
          <w:numId w:val="2"/>
        </w:numPr>
        <w:spacing w:after="60" w:line="264"/>
      </w:pPr>
      <w:r>
        <w:rPr>
          <w:rFonts w:ascii="Calibri" w:cs="Calibri" w:eastAsia="Calibri" w:hAnsi="Calibri"/>
          <w:sz w:val="22"/>
          <w:szCs w:val="22"/>
        </w:rPr>
        <w:t xml:space="preserve">Global field power around feedback onset per class and per run type, which is the xDAWN decision in one figure.</w:t>
      </w:r>
    </w:p>
    <w:p>
      <w:pPr>
        <w:pStyle w:val="ListParagraph"/>
        <w:numPr>
          <w:ilvl w:val="0"/>
          <w:numId w:val="2"/>
        </w:numPr>
        <w:spacing w:after="60" w:line="264"/>
      </w:pPr>
      <w:r>
        <w:rPr>
          <w:rFonts w:ascii="Calibri" w:cs="Calibri" w:eastAsia="Calibri" w:hAnsi="Calibri"/>
          <w:sz w:val="22"/>
          <w:szCs w:val="22"/>
        </w:rPr>
        <w:t xml:space="preserve">For P04 and P10, the drift of the session mean covariance and of each task's ERD map from session 1 to sessions 2 and 3.</w:t>
      </w:r>
    </w:p>
    <w:p>
      <w:pPr>
        <w:pStyle w:val="ListParagraph"/>
        <w:numPr>
          <w:ilvl w:val="0"/>
          <w:numId w:val="2"/>
        </w:numPr>
        <w:spacing w:after="60" w:line="264"/>
      </w:pPr>
      <w:r>
        <w:rPr>
          <w:rFonts w:ascii="Calibri" w:cs="Calibri" w:eastAsia="Calibri" w:hAnsi="Calibri"/>
          <w:sz w:val="22"/>
          <w:szCs w:val="22"/>
        </w:rPr>
        <w:t xml:space="preserve">Where the high-amplitude windows are: which channels, which classes, which runs, and whether they cluster in time (fatigue) or in people.</w:t>
      </w:r>
    </w:p>
    <w:p>
      <w:pPr>
        <w:pStyle w:val="ListParagraph"/>
        <w:numPr>
          <w:ilvl w:val="0"/>
          <w:numId w:val="2"/>
        </w:numPr>
        <w:spacing w:after="60" w:line="264"/>
      </w:pPr>
      <w:r>
        <w:rPr>
          <w:rFonts w:ascii="Calibri" w:cs="Calibri" w:eastAsia="Calibri" w:hAnsi="Calibri"/>
          <w:sz w:val="22"/>
          <w:szCs w:val="22"/>
        </w:rPr>
        <w:t xml:space="preserve">Resting mu amplitude at C3/C4 (eyes open) per person against that person's leave-one-person-out mi recall, to see whether the classical aptitude predictor holds in this sample.</w:t>
      </w:r>
    </w:p>
    <w:p>
      <w:pPr>
        <w:pStyle w:val="Heading1"/>
        <w:spacing w:before="360" w:after="160"/>
      </w:pPr>
      <w:r>
        <w:rPr>
          <w:rFonts w:ascii="Calibri" w:cs="Calibri" w:eastAsia="Calibri" w:hAnsi="Calibri"/>
        </w:rPr>
        <w:t xml:space="preserve">References</w:t>
      </w:r>
    </w:p>
    <w:p>
      <w:pPr>
        <w:spacing w:after="60" w:line="252"/>
        <w:ind w:left="360" w:hanging="360"/>
      </w:pPr>
      <w:r>
        <w:rPr>
          <w:rFonts w:ascii="Calibri" w:cs="Calibri" w:eastAsia="Calibri" w:hAnsi="Calibri"/>
          <w:sz w:val="19"/>
          <w:szCs w:val="19"/>
        </w:rPr>
        <w:t xml:space="preserve">Arsalidou M, Taylor MJ (2011). Is 2+2=4? Meta-analyses of brain areas needed for numbers and calculations. NeuroImage 54:2382–2393.</w:t>
      </w:r>
    </w:p>
    <w:p>
      <w:pPr>
        <w:spacing w:after="60" w:line="252"/>
        <w:ind w:left="360" w:hanging="360"/>
      </w:pPr>
      <w:r>
        <w:rPr>
          <w:rFonts w:ascii="Calibri" w:cs="Calibri" w:eastAsia="Calibri" w:hAnsi="Calibri"/>
          <w:sz w:val="19"/>
          <w:szCs w:val="19"/>
        </w:rPr>
        <w:t xml:space="preserve">Blankertz B, Sannelli C, Halder S, Hammer EM, Kübler A, Müller K-R, Curio G, Dickhaus T (2010). Neurophysiological predictor of SMR-based BCI performance. NeuroImage 51:1303–1309.</w:t>
      </w:r>
    </w:p>
    <w:p>
      <w:pPr>
        <w:spacing w:after="60" w:line="252"/>
        <w:ind w:left="360" w:hanging="360"/>
      </w:pPr>
      <w:r>
        <w:rPr>
          <w:rFonts w:ascii="Calibri" w:cs="Calibri" w:eastAsia="Calibri" w:hAnsi="Calibri"/>
          <w:sz w:val="19"/>
          <w:szCs w:val="19"/>
        </w:rPr>
        <w:t xml:space="preserve">Bouchard KE, Mesgarani N, Johnson K, Chang EF (2013). Functional organization of human sensorimotor cortex for speech articulation. Nature 495:327–332.</w:t>
      </w:r>
    </w:p>
    <w:p>
      <w:pPr>
        <w:spacing w:after="60" w:line="252"/>
        <w:ind w:left="360" w:hanging="360"/>
      </w:pPr>
      <w:r>
        <w:rPr>
          <w:rFonts w:ascii="Calibri" w:cs="Calibri" w:eastAsia="Calibri" w:hAnsi="Calibri"/>
          <w:sz w:val="19"/>
          <w:szCs w:val="19"/>
        </w:rPr>
        <w:t xml:space="preserve">Dehaene S, Piazza M, Pinel P, Cohen L (2003). Three parietal circuits for number processing. Cognitive Neuropsychology 20:487–506.</w:t>
      </w:r>
    </w:p>
    <w:p>
      <w:pPr>
        <w:spacing w:after="60" w:line="252"/>
        <w:ind w:left="360" w:hanging="360"/>
      </w:pPr>
      <w:r>
        <w:rPr>
          <w:rFonts w:ascii="Calibri" w:cs="Calibri" w:eastAsia="Calibri" w:hAnsi="Calibri"/>
          <w:sz w:val="19"/>
          <w:szCs w:val="19"/>
        </w:rPr>
        <w:t xml:space="preserve">Dreyer P, Bourdil M, Bechon L, Kojima S, Velut S, Rimbert S, Roy RN, Lotte F (2026). PROTEUS BCI Bordeaux: EEG/EMG Foundation Challenge 2026, Track 02. NEMAR nm000290 v1.0.0, doi:10.82901/nemar.nm000290.</w:t>
      </w:r>
    </w:p>
    <w:p>
      <w:pPr>
        <w:spacing w:after="60" w:line="252"/>
        <w:ind w:left="360" w:hanging="360"/>
      </w:pPr>
      <w:r>
        <w:rPr>
          <w:rFonts w:ascii="Calibri" w:cs="Calibri" w:eastAsia="Calibri" w:hAnsi="Calibri"/>
          <w:sz w:val="19"/>
          <w:szCs w:val="19"/>
        </w:rPr>
        <w:t xml:space="preserve">Dreyer P, Roc A, Pillette L, Rimbert S, Lotte F (2023). A large EEG database with users' profile information for motor imagery brain-computer interface research. Scientific Data 10:580.</w:t>
      </w:r>
    </w:p>
    <w:p>
      <w:pPr>
        <w:spacing w:after="60" w:line="252"/>
        <w:ind w:left="360" w:hanging="360"/>
      </w:pPr>
      <w:r>
        <w:rPr>
          <w:rFonts w:ascii="Calibri" w:cs="Calibri" w:eastAsia="Calibri" w:hAnsi="Calibri"/>
          <w:sz w:val="19"/>
          <w:szCs w:val="19"/>
        </w:rPr>
        <w:t xml:space="preserve">Friedrich EVC, Scherer R, Neuper C (2012). The effect of distinct mental strategies on classification performance for brain-computer interfaces. International Journal of Psychophysiology 84:86–94.</w:t>
      </w:r>
    </w:p>
    <w:p>
      <w:pPr>
        <w:spacing w:after="60" w:line="252"/>
        <w:ind w:left="360" w:hanging="360"/>
      </w:pPr>
      <w:r>
        <w:rPr>
          <w:rFonts w:ascii="Calibri" w:cs="Calibri" w:eastAsia="Calibri" w:hAnsi="Calibri"/>
          <w:sz w:val="19"/>
          <w:szCs w:val="19"/>
        </w:rPr>
        <w:t xml:space="preserve">Friedrich EVC, Scherer R, Neuper C (2013). Long-term evaluation of a 4-class imagery-based brain-computer interface. Clinical Neurophysiology 124:916–927.</w:t>
      </w:r>
    </w:p>
    <w:p>
      <w:pPr>
        <w:spacing w:after="60" w:line="252"/>
        <w:ind w:left="360" w:hanging="360"/>
      </w:pPr>
      <w:r>
        <w:rPr>
          <w:rFonts w:ascii="Calibri" w:cs="Calibri" w:eastAsia="Calibri" w:hAnsi="Calibri"/>
          <w:sz w:val="19"/>
          <w:szCs w:val="19"/>
        </w:rPr>
        <w:t xml:space="preserve">Friedrich EVC, Neuper C, Scherer R (2013). Whatever works: a systematic user-centered training protocol to optimize brain-computer interfacing individually. PLoS ONE 8:e76214.</w:t>
      </w:r>
    </w:p>
    <w:p>
      <w:pPr>
        <w:spacing w:after="60" w:line="252"/>
        <w:ind w:left="360" w:hanging="360"/>
      </w:pPr>
      <w:r>
        <w:rPr>
          <w:rFonts w:ascii="Calibri" w:cs="Calibri" w:eastAsia="Calibri" w:hAnsi="Calibri"/>
          <w:sz w:val="19"/>
          <w:szCs w:val="19"/>
        </w:rPr>
        <w:t xml:space="preserve">Hardwick RM, Caspers S, Eickhoff SB, Swinnen SP (2018). Neural correlates of action: comparing meta-analyses of imagery, observation, and execution. Neuroscience and Biobehavioral Reviews 94:31–44.</w:t>
      </w:r>
    </w:p>
    <w:p>
      <w:pPr>
        <w:spacing w:after="60" w:line="252"/>
        <w:ind w:left="360" w:hanging="360"/>
      </w:pPr>
      <w:r>
        <w:rPr>
          <w:rFonts w:ascii="Calibri" w:cs="Calibri" w:eastAsia="Calibri" w:hAnsi="Calibri"/>
          <w:sz w:val="19"/>
          <w:szCs w:val="19"/>
        </w:rPr>
        <w:t xml:space="preserve">Harmony T, Fernández T, Silva J, Bosch J, Valdés P, Fernández-Bouzas A, Galán L, Aubert E, Rodríguez D (1999). Do specific EEG frequencies indicate different processes during mental calculation? Neuroscience Letters 266:25–28.</w:t>
      </w:r>
    </w:p>
    <w:p>
      <w:pPr>
        <w:spacing w:after="60" w:line="252"/>
        <w:ind w:left="360" w:hanging="360"/>
      </w:pPr>
      <w:r>
        <w:rPr>
          <w:rFonts w:ascii="Calibri" w:cs="Calibri" w:eastAsia="Calibri" w:hAnsi="Calibri"/>
          <w:sz w:val="19"/>
          <w:szCs w:val="19"/>
        </w:rPr>
        <w:t xml:space="preserve">Indefrey P, Levelt WJM (2004). The spatial and temporal signatures of word production components. Cognition 92:101–144.</w:t>
      </w:r>
    </w:p>
    <w:p>
      <w:pPr>
        <w:spacing w:after="60" w:line="252"/>
        <w:ind w:left="360" w:hanging="360"/>
      </w:pPr>
      <w:r>
        <w:rPr>
          <w:rFonts w:ascii="Calibri" w:cs="Calibri" w:eastAsia="Calibri" w:hAnsi="Calibri"/>
          <w:sz w:val="19"/>
          <w:szCs w:val="19"/>
        </w:rPr>
        <w:t xml:space="preserve">Ishii R, Canuet L, Ishihara T, Aoki Y, Ikeda S, Hata M, Katsimichas T, Gunji A, Takahashi H, Nakahachi T, Iwase M, Takeda M (2014). Frontal midline theta rhythm and gamma power changes during focused attention on mental calculation: an MEG beamformer analysis. Frontiers in Human Neuroscience 8:406.</w:t>
      </w:r>
    </w:p>
    <w:p>
      <w:pPr>
        <w:spacing w:after="60" w:line="252"/>
        <w:ind w:left="360" w:hanging="360"/>
      </w:pPr>
      <w:r>
        <w:rPr>
          <w:rFonts w:ascii="Calibri" w:cs="Calibri" w:eastAsia="Calibri" w:hAnsi="Calibri"/>
          <w:sz w:val="19"/>
          <w:szCs w:val="19"/>
        </w:rPr>
        <w:t xml:space="preserve">Jeannerod M (2001). Neural simulation of action: a unifying mechanism for motor cognition. NeuroImage 14:S103–S109.</w:t>
      </w:r>
    </w:p>
    <w:p>
      <w:pPr>
        <w:spacing w:after="60" w:line="252"/>
        <w:ind w:left="360" w:hanging="360"/>
      </w:pPr>
      <w:r>
        <w:rPr>
          <w:rFonts w:ascii="Calibri" w:cs="Calibri" w:eastAsia="Calibri" w:hAnsi="Calibri"/>
          <w:sz w:val="19"/>
          <w:szCs w:val="19"/>
        </w:rPr>
        <w:t xml:space="preserve">Jeunet C, N'Kaoua B, Subramanian S, Hachet M, Lotte F (2015). Predicting mental imagery-based BCI performance from personality, cognitive profile and neurophysiological patterns. PLoS ONE 10:e0143962 (correction 2023).</w:t>
      </w:r>
    </w:p>
    <w:p>
      <w:pPr>
        <w:spacing w:after="60" w:line="252"/>
        <w:ind w:left="360" w:hanging="360"/>
      </w:pPr>
      <w:r>
        <w:rPr>
          <w:rFonts w:ascii="Calibri" w:cs="Calibri" w:eastAsia="Calibri" w:hAnsi="Calibri"/>
          <w:sz w:val="19"/>
          <w:szCs w:val="19"/>
        </w:rPr>
        <w:t xml:space="preserve">Klimesch W (1999). EEG alpha and theta oscillations reflect cognitive and memory performance: a review and analysis. Brain Research Reviews 29:169–195.</w:t>
      </w:r>
    </w:p>
    <w:p>
      <w:pPr>
        <w:spacing w:after="60" w:line="252"/>
        <w:ind w:left="360" w:hanging="360"/>
      </w:pPr>
      <w:r>
        <w:rPr>
          <w:rFonts w:ascii="Calibri" w:cs="Calibri" w:eastAsia="Calibri" w:hAnsi="Calibri"/>
          <w:sz w:val="19"/>
          <w:szCs w:val="19"/>
        </w:rPr>
        <w:t xml:space="preserve">Neuper C, Scherer R, Reiner M, Pfurtscheller G (2005). Imagery of motor actions: differential effects of kinesthetic and visual-motor mode of imagery in single-trial EEG. Cognitive Brain Research 25:668–677.</w:t>
      </w:r>
    </w:p>
    <w:p>
      <w:pPr>
        <w:spacing w:after="60" w:line="252"/>
        <w:ind w:left="360" w:hanging="360"/>
      </w:pPr>
      <w:r>
        <w:rPr>
          <w:rFonts w:ascii="Calibri" w:cs="Calibri" w:eastAsia="Calibri" w:hAnsi="Calibri"/>
          <w:sz w:val="19"/>
          <w:szCs w:val="19"/>
        </w:rPr>
        <w:t xml:space="preserve">Panachakel JT, Ramakrishnan AG (2021). Decoding covert speech from EEG: a comprehensive review. Frontiers in Neuroscience 15:642251.</w:t>
      </w:r>
    </w:p>
    <w:p>
      <w:pPr>
        <w:spacing w:after="60" w:line="252"/>
        <w:ind w:left="360" w:hanging="360"/>
      </w:pPr>
      <w:r>
        <w:rPr>
          <w:rFonts w:ascii="Calibri" w:cs="Calibri" w:eastAsia="Calibri" w:hAnsi="Calibri"/>
          <w:sz w:val="19"/>
          <w:szCs w:val="19"/>
        </w:rPr>
        <w:t xml:space="preserve">Pfurtscheller G, Lopes da Silva FH (1999). Event-related EEG/MEG synchronization and desynchronization: basic principles. Clinical Neurophysiology 110:1842–1857.</w:t>
      </w:r>
    </w:p>
    <w:p>
      <w:pPr>
        <w:spacing w:after="60" w:line="252"/>
        <w:ind w:left="360" w:hanging="360"/>
      </w:pPr>
      <w:r>
        <w:rPr>
          <w:rFonts w:ascii="Calibri" w:cs="Calibri" w:eastAsia="Calibri" w:hAnsi="Calibri"/>
          <w:sz w:val="19"/>
          <w:szCs w:val="19"/>
        </w:rPr>
        <w:t xml:space="preserve">Pfurtscheller G, Brunner C, Schlögl A, Lopes da Silva FH (2006). Mu rhythm (de)synchronization and EEG single-trial classification of different motor imagery tasks. NeuroImage 31:153–159.</w:t>
      </w:r>
    </w:p>
    <w:p>
      <w:pPr>
        <w:spacing w:after="60" w:line="252"/>
        <w:ind w:left="360" w:hanging="360"/>
      </w:pPr>
      <w:r>
        <w:rPr>
          <w:rFonts w:ascii="Calibri" w:cs="Calibri" w:eastAsia="Calibri" w:hAnsi="Calibri"/>
          <w:sz w:val="19"/>
          <w:szCs w:val="19"/>
        </w:rPr>
        <w:t xml:space="preserve">Piai V, Roelofs A, Rommers J, Maris E (2015). Beta oscillations reflect memory and motor aspects of spoken word production. Human Brain Mapping 36:2767–2780.</w:t>
      </w:r>
    </w:p>
    <w:p>
      <w:pPr>
        <w:spacing w:after="60" w:line="252"/>
        <w:ind w:left="360" w:hanging="360"/>
      </w:pPr>
      <w:r>
        <w:rPr>
          <w:rFonts w:ascii="Calibri" w:cs="Calibri" w:eastAsia="Calibri" w:hAnsi="Calibri"/>
          <w:sz w:val="19"/>
          <w:szCs w:val="19"/>
        </w:rPr>
        <w:t xml:space="preserve">Roc A, Pillette L, Mladenovic J, Benaroch C, N'Kaoua B, Jeunet C, Lotte F (2021). A review of user training methods in brain computer interfaces based on mental tasks. Journal of Neural Engineering 18:011002.</w:t>
      </w:r>
    </w:p>
    <w:p>
      <w:pPr>
        <w:spacing w:after="60" w:line="252"/>
        <w:ind w:left="360" w:hanging="360"/>
      </w:pPr>
      <w:r>
        <w:rPr>
          <w:rFonts w:ascii="Calibri" w:cs="Calibri" w:eastAsia="Calibri" w:hAnsi="Calibri"/>
          <w:sz w:val="19"/>
          <w:szCs w:val="19"/>
        </w:rPr>
        <w:t xml:space="preserve">Sauseng P, Griesmayr B, Freunberger R, Klimesch W (2010). Control mechanisms in working memory: a possible function of EEG theta oscillations. Neuroscience and Biobehavioral Reviews 34:1015–1022.</w:t>
      </w:r>
    </w:p>
    <w:p>
      <w:pPr>
        <w:spacing w:after="60" w:line="252"/>
        <w:ind w:left="360" w:hanging="360"/>
      </w:pPr>
      <w:r>
        <w:rPr>
          <w:rFonts w:ascii="Calibri" w:cs="Calibri" w:eastAsia="Calibri" w:hAnsi="Calibri"/>
          <w:sz w:val="19"/>
          <w:szCs w:val="19"/>
        </w:rPr>
        <w:t xml:space="preserve">Scherer R, Faller J, Friedrich EVC, Opisso E, Costa U, Kübler A, Müller-Putz GR (2015). Individually adapted imagery improves brain-computer interface performance in end-users with disability. PLoS ONE 10:e0123727.</w:t>
      </w:r>
    </w:p>
    <w:p>
      <w:pPr>
        <w:spacing w:after="60" w:line="252"/>
        <w:ind w:left="360" w:hanging="360"/>
      </w:pPr>
      <w:r>
        <w:rPr>
          <w:rFonts w:ascii="Calibri" w:cs="Calibri" w:eastAsia="Calibri" w:hAnsi="Calibri"/>
          <w:sz w:val="19"/>
          <w:szCs w:val="19"/>
        </w:rPr>
        <w:t xml:space="preserve">Stancák A Jr, Pfurtscheller G (1996). The effects of handedness and type of movement on the contralateral preponderance of mu-rhythm desynchronisation. Electroencephalography and Clinical Neurophysiology 99:174–182.</w:t>
      </w:r>
    </w:p>
    <w:p>
      <w:pPr>
        <w:spacing w:after="60" w:line="252"/>
        <w:ind w:left="360" w:hanging="360"/>
      </w:pPr>
      <w:r>
        <w:rPr>
          <w:rFonts w:ascii="Calibri" w:cs="Calibri" w:eastAsia="Calibri" w:hAnsi="Calibri"/>
          <w:sz w:val="19"/>
          <w:szCs w:val="19"/>
        </w:rPr>
        <w:t xml:space="preserve">Wagner S, Sebastian A, Lieb K, Tüscher O, Tadić A (2014). A coordinate-based ALE functional MRI meta-analysis of brain activation during verbal fluency tasks in healthy individuals. BMC Neuroscience 15:19.</w:t>
      </w:r>
    </w:p>
    <w:p>
      <w:pPr>
        <w:spacing w:before="160"/>
      </w:pPr>
      <w:r>
        <w:rPr>
          <w:rFonts w:ascii="Calibri" w:cs="Calibri" w:eastAsia="Calibri" w:hAnsi="Calibri"/>
          <w:i/>
          <w:iCs/>
          <w:color w:val="595959"/>
          <w:sz w:val="18"/>
          <w:szCs w:val="18"/>
        </w:rPr>
        <w:t xml:space="preserve">Citation details were written from the author's knowledge of the literature and the search results consulted on 15 October 2026; volume and page numbers should be verified before reuse in a manuscript.</w:t>
      </w:r>
    </w:p>
    <w:sectPr>
      <w:headerReference w:type="default" r:id="rId6"/>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PROTEUS mental commands: theoretical framework (2026-10-15)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E5597"/>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mechanisms of the three PROTEUS mental commands</dc:title>
  <dc:creator>Ali Doroodchi</dc:creator>
  <cp:lastModifiedBy>Un-named</cp:lastModifiedBy>
  <cp:revision>1</cp:revision>
  <dcterms:created xsi:type="dcterms:W3CDTF">2026-10-15T21:32:58.248Z</dcterms:created>
  <dcterms:modified xsi:type="dcterms:W3CDTF">2026-10-15T21:32:58.248Z</dcterms:modified>
</cp:coreProperties>
</file>

<file path=docProps/custom.xml><?xml version="1.0" encoding="utf-8"?>
<Properties xmlns="http://schemas.openxmlformats.org/officeDocument/2006/custom-properties" xmlns:vt="http://schemas.openxmlformats.org/officeDocument/2006/docPropsVTypes"/>
</file>