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Related Systems and Context</w:t>
      </w:r>
    </w:p>
    <w:p>
      <w:pPr>
        <w:jc w:val="both"/>
      </w:pPr>
      <w:r>
        <w:rPr>
          <w:rFonts w:ascii="Calibri" w:hAnsi="Calibri"/>
          <w:color w:val="222222"/>
          <w:sz w:val="24"/>
        </w:rPr>
        <w:t>University information platforms commonly focus on either institutional catalogues, application workflows, generic search, or career preparation. uniAI combines several of these concerns in one student-facing system: graduate discovery, structured academic evidence, conversational assistance, mapping, and CV preparation. The contribution is integration rather than a claim that any one component is novel in isolation.</w:t>
      </w:r>
    </w:p>
    <w:p>
      <w:pPr>
        <w:pStyle w:val="Heading2"/>
      </w:pPr>
      <w:r>
        <w:t>2.1 Comparison Perspective</w:t>
      </w:r>
    </w:p>
    <w:p>
      <w:pPr>
        <w:jc w:val="both"/>
      </w:pPr>
      <w:r>
        <w:rPr>
          <w:rFonts w:ascii="Calibri" w:hAnsi="Calibri"/>
          <w:color w:val="222222"/>
          <w:sz w:val="24"/>
        </w:rPr>
        <w:t>Related-system analysis is limited to comparison criteria documented in the report assets. It avoids unsupported claims about commercial platforms and distinguishes verified technology facts from project-specific interpretation. The relevant criteria are structured graduate data, conversational guidance, location exploration, CV support, and traceability to sources.</w:t>
      </w:r>
    </w:p>
    <w:p>
      <w:pPr>
        <w:pStyle w:val="FigureCaption"/>
        <w:jc w:val="center"/>
      </w:pPr>
      <w:r>
        <w:rPr>
          <w:rFonts w:ascii="Calibri" w:hAnsi="Calibri"/>
          <w:i/>
          <w:color w:val="222222"/>
          <w:sz w:val="22"/>
        </w:rPr>
        <w:t>Table 2.1: Related-system comparison framework</w:t>
      </w:r>
    </w:p>
    <w:tbl>
      <w:tblPr>
        <w:tblStyle w:val="TableGrid"/>
        <w:tblW w:type="dxa" w:w="9360"/>
        <w:jc w:val="center"/>
        <w:tblLayout w:type="fixed"/>
        <w:tblLook w:firstColumn="1" w:firstRow="1" w:lastColumn="0" w:lastRow="0" w:noHBand="0" w:noVBand="1" w:val="04A0"/>
      </w:tblPr>
      <w:tblGrid>
        <w:gridCol w:w="2100"/>
        <w:gridCol w:w="3800"/>
        <w:gridCol w:w="3460"/>
      </w:tblGrid>
      <w:tr>
        <w:trPr>
          <w:tblHeader w:val="true"/>
        </w:trPr>
        <w:tc>
          <w:tcPr>
            <w:tcW w:type="dxa" w:w="2100"/>
            <w:shd w:fill="D9EAF7"/>
            <w:tcMar>
              <w:top w:w="90" w:type="dxa"/>
              <w:start w:w="120" w:type="dxa"/>
              <w:bottom w:w="90" w:type="dxa"/>
              <w:end w:w="120" w:type="dxa"/>
            </w:tcMar>
            <w:vAlign w:val="center"/>
          </w:tcPr>
          <w:p>
            <w:pPr>
              <w:jc w:val="center"/>
            </w:pPr>
            <w:r/>
            <w:r>
              <w:rPr>
                <w:rFonts w:ascii="Calibri" w:hAnsi="Calibri"/>
                <w:b/>
                <w:color w:val="222222"/>
                <w:sz w:val="20"/>
              </w:rPr>
              <w:t>Criterion</w:t>
            </w:r>
          </w:p>
        </w:tc>
        <w:tc>
          <w:tcPr>
            <w:tcW w:type="dxa" w:w="3800"/>
            <w:shd w:fill="D9EAF7"/>
            <w:tcMar>
              <w:top w:w="90" w:type="dxa"/>
              <w:start w:w="120" w:type="dxa"/>
              <w:bottom w:w="90" w:type="dxa"/>
              <w:end w:w="120" w:type="dxa"/>
            </w:tcMar>
            <w:vAlign w:val="center"/>
          </w:tcPr>
          <w:p>
            <w:pPr>
              <w:jc w:val="center"/>
            </w:pPr>
            <w:r/>
            <w:r>
              <w:rPr>
                <w:rFonts w:ascii="Calibri" w:hAnsi="Calibri"/>
                <w:b/>
                <w:color w:val="222222"/>
                <w:sz w:val="20"/>
              </w:rPr>
              <w:t>uniAI approach</w:t>
            </w:r>
          </w:p>
        </w:tc>
        <w:tc>
          <w:tcPr>
            <w:tcW w:type="dxa" w:w="3460"/>
            <w:shd w:fill="D9EAF7"/>
            <w:tcMar>
              <w:top w:w="90" w:type="dxa"/>
              <w:start w:w="120" w:type="dxa"/>
              <w:bottom w:w="90" w:type="dxa"/>
              <w:end w:w="120" w:type="dxa"/>
            </w:tcMar>
            <w:vAlign w:val="center"/>
          </w:tcPr>
          <w:p>
            <w:pPr>
              <w:jc w:val="center"/>
            </w:pPr>
            <w:r/>
            <w:r>
              <w:rPr>
                <w:rFonts w:ascii="Calibri" w:hAnsi="Calibri"/>
                <w:b/>
                <w:color w:val="222222"/>
                <w:sz w:val="20"/>
              </w:rPr>
              <w:t>Interpretation</w:t>
            </w:r>
          </w:p>
        </w:tc>
      </w:tr>
      <w:tr>
        <w:tc>
          <w:tcPr>
            <w:tcW w:type="dxa" w:w="2100"/>
            <w:tcMar>
              <w:top w:w="90" w:type="dxa"/>
              <w:start w:w="120" w:type="dxa"/>
              <w:bottom w:w="90" w:type="dxa"/>
              <w:end w:w="120" w:type="dxa"/>
            </w:tcMar>
            <w:vAlign w:val="center"/>
          </w:tcPr>
          <w:p>
            <w:pPr>
              <w:jc w:val="left"/>
            </w:pPr>
            <w:r/>
            <w:r>
              <w:rPr>
                <w:rFonts w:ascii="Calibri" w:hAnsi="Calibri"/>
                <w:color w:val="222222"/>
                <w:sz w:val="20"/>
              </w:rPr>
              <w:t>Graduate discovery</w:t>
            </w:r>
          </w:p>
        </w:tc>
        <w:tc>
          <w:tcPr>
            <w:tcW w:type="dxa" w:w="3800"/>
            <w:tcMar>
              <w:top w:w="90" w:type="dxa"/>
              <w:start w:w="120" w:type="dxa"/>
              <w:bottom w:w="90" w:type="dxa"/>
              <w:end w:w="120" w:type="dxa"/>
            </w:tcMar>
            <w:vAlign w:val="center"/>
          </w:tcPr>
          <w:p>
            <w:pPr>
              <w:jc w:val="left"/>
            </w:pPr>
            <w:r/>
            <w:r>
              <w:rPr>
                <w:rFonts w:ascii="Calibri" w:hAnsi="Calibri"/>
                <w:color w:val="222222"/>
                <w:sz w:val="20"/>
              </w:rPr>
              <w:t>Structured programme and university data</w:t>
            </w:r>
          </w:p>
        </w:tc>
        <w:tc>
          <w:tcPr>
            <w:tcW w:type="dxa" w:w="3460"/>
            <w:tcMar>
              <w:top w:w="90" w:type="dxa"/>
              <w:start w:w="120" w:type="dxa"/>
              <w:bottom w:w="90" w:type="dxa"/>
              <w:end w:w="120" w:type="dxa"/>
            </w:tcMar>
            <w:vAlign w:val="center"/>
          </w:tcPr>
          <w:p>
            <w:pPr>
              <w:jc w:val="left"/>
            </w:pPr>
            <w:r/>
            <w:r>
              <w:rPr>
                <w:rFonts w:ascii="Calibri" w:hAnsi="Calibri"/>
                <w:color w:val="222222"/>
                <w:sz w:val="20"/>
              </w:rPr>
              <w:t>Supports evidence-oriented queries where data exists.</w:t>
            </w:r>
          </w:p>
        </w:tc>
      </w:tr>
      <w:tr>
        <w:tc>
          <w:tcPr>
            <w:tcW w:type="dxa" w:w="2100"/>
            <w:tcMar>
              <w:top w:w="90" w:type="dxa"/>
              <w:start w:w="120" w:type="dxa"/>
              <w:bottom w:w="90" w:type="dxa"/>
              <w:end w:w="120" w:type="dxa"/>
            </w:tcMar>
            <w:vAlign w:val="center"/>
          </w:tcPr>
          <w:p>
            <w:pPr>
              <w:jc w:val="left"/>
            </w:pPr>
            <w:r/>
            <w:r>
              <w:rPr>
                <w:rFonts w:ascii="Calibri" w:hAnsi="Calibri"/>
                <w:color w:val="222222"/>
                <w:sz w:val="20"/>
              </w:rPr>
              <w:t>Conversational guidance</w:t>
            </w:r>
          </w:p>
        </w:tc>
        <w:tc>
          <w:tcPr>
            <w:tcW w:type="dxa" w:w="3800"/>
            <w:tcMar>
              <w:top w:w="90" w:type="dxa"/>
              <w:start w:w="120" w:type="dxa"/>
              <w:bottom w:w="90" w:type="dxa"/>
              <w:end w:w="120" w:type="dxa"/>
            </w:tcMar>
            <w:vAlign w:val="center"/>
          </w:tcPr>
          <w:p>
            <w:pPr>
              <w:jc w:val="left"/>
            </w:pPr>
            <w:r/>
            <w:r>
              <w:rPr>
                <w:rFonts w:ascii="Calibri" w:hAnsi="Calibri"/>
                <w:color w:val="222222"/>
                <w:sz w:val="20"/>
              </w:rPr>
              <w:t>Configurable AI provider plus retrieval context</w:t>
            </w:r>
          </w:p>
        </w:tc>
        <w:tc>
          <w:tcPr>
            <w:tcW w:type="dxa" w:w="3460"/>
            <w:tcMar>
              <w:top w:w="90" w:type="dxa"/>
              <w:start w:w="120" w:type="dxa"/>
              <w:bottom w:w="90" w:type="dxa"/>
              <w:end w:w="120" w:type="dxa"/>
            </w:tcMar>
            <w:vAlign w:val="center"/>
          </w:tcPr>
          <w:p>
            <w:pPr>
              <w:jc w:val="left"/>
            </w:pPr>
            <w:r/>
            <w:r>
              <w:rPr>
                <w:rFonts w:ascii="Calibri" w:hAnsi="Calibri"/>
                <w:color w:val="222222"/>
                <w:sz w:val="20"/>
              </w:rPr>
              <w:t>Useful for explanation; output remains provider-dependent.</w:t>
            </w:r>
          </w:p>
        </w:tc>
      </w:tr>
      <w:tr>
        <w:tc>
          <w:tcPr>
            <w:tcW w:type="dxa" w:w="2100"/>
            <w:tcMar>
              <w:top w:w="90" w:type="dxa"/>
              <w:start w:w="120" w:type="dxa"/>
              <w:bottom w:w="90" w:type="dxa"/>
              <w:end w:w="120" w:type="dxa"/>
            </w:tcMar>
            <w:vAlign w:val="center"/>
          </w:tcPr>
          <w:p>
            <w:pPr>
              <w:jc w:val="left"/>
            </w:pPr>
            <w:r/>
            <w:r>
              <w:rPr>
                <w:rFonts w:ascii="Calibri" w:hAnsi="Calibri"/>
                <w:color w:val="222222"/>
                <w:sz w:val="20"/>
              </w:rPr>
              <w:t>Location exploration</w:t>
            </w:r>
          </w:p>
        </w:tc>
        <w:tc>
          <w:tcPr>
            <w:tcW w:type="dxa" w:w="3800"/>
            <w:tcMar>
              <w:top w:w="90" w:type="dxa"/>
              <w:start w:w="120" w:type="dxa"/>
              <w:bottom w:w="90" w:type="dxa"/>
              <w:end w:w="120" w:type="dxa"/>
            </w:tcMar>
            <w:vAlign w:val="center"/>
          </w:tcPr>
          <w:p>
            <w:pPr>
              <w:jc w:val="left"/>
            </w:pPr>
            <w:r/>
            <w:r>
              <w:rPr>
                <w:rFonts w:ascii="Calibri" w:hAnsi="Calibri"/>
                <w:color w:val="222222"/>
                <w:sz w:val="20"/>
              </w:rPr>
              <w:t>Catalogue and map views</w:t>
            </w:r>
          </w:p>
        </w:tc>
        <w:tc>
          <w:tcPr>
            <w:tcW w:type="dxa" w:w="3460"/>
            <w:tcMar>
              <w:top w:w="90" w:type="dxa"/>
              <w:start w:w="120" w:type="dxa"/>
              <w:bottom w:w="90" w:type="dxa"/>
              <w:end w:w="120" w:type="dxa"/>
            </w:tcMar>
            <w:vAlign w:val="center"/>
          </w:tcPr>
          <w:p>
            <w:pPr>
              <w:jc w:val="left"/>
            </w:pPr>
            <w:r/>
            <w:r>
              <w:rPr>
                <w:rFonts w:ascii="Calibri" w:hAnsi="Calibri"/>
                <w:color w:val="222222"/>
                <w:sz w:val="20"/>
              </w:rPr>
              <w:t>Location data quality determines answer accuracy.</w:t>
            </w:r>
          </w:p>
        </w:tc>
      </w:tr>
      <w:tr>
        <w:tc>
          <w:tcPr>
            <w:tcW w:type="dxa" w:w="2100"/>
            <w:tcMar>
              <w:top w:w="90" w:type="dxa"/>
              <w:start w:w="120" w:type="dxa"/>
              <w:bottom w:w="90" w:type="dxa"/>
              <w:end w:w="120" w:type="dxa"/>
            </w:tcMar>
            <w:vAlign w:val="center"/>
          </w:tcPr>
          <w:p>
            <w:pPr>
              <w:jc w:val="left"/>
            </w:pPr>
            <w:r/>
            <w:r>
              <w:rPr>
                <w:rFonts w:ascii="Calibri" w:hAnsi="Calibri"/>
                <w:color w:val="222222"/>
                <w:sz w:val="20"/>
              </w:rPr>
              <w:t>Career preparation</w:t>
            </w:r>
          </w:p>
        </w:tc>
        <w:tc>
          <w:tcPr>
            <w:tcW w:type="dxa" w:w="3800"/>
            <w:tcMar>
              <w:top w:w="90" w:type="dxa"/>
              <w:start w:w="120" w:type="dxa"/>
              <w:bottom w:w="90" w:type="dxa"/>
              <w:end w:w="120" w:type="dxa"/>
            </w:tcMar>
            <w:vAlign w:val="center"/>
          </w:tcPr>
          <w:p>
            <w:pPr>
              <w:jc w:val="left"/>
            </w:pPr>
            <w:r/>
            <w:r>
              <w:rPr>
                <w:rFonts w:ascii="Calibri" w:hAnsi="Calibri"/>
                <w:color w:val="222222"/>
                <w:sz w:val="20"/>
              </w:rPr>
              <w:t>Profile and CV Builder</w:t>
            </w:r>
          </w:p>
        </w:tc>
        <w:tc>
          <w:tcPr>
            <w:tcW w:type="dxa" w:w="3460"/>
            <w:tcMar>
              <w:top w:w="90" w:type="dxa"/>
              <w:start w:w="120" w:type="dxa"/>
              <w:bottom w:w="90" w:type="dxa"/>
              <w:end w:w="120" w:type="dxa"/>
            </w:tcMar>
            <w:vAlign w:val="center"/>
          </w:tcPr>
          <w:p>
            <w:pPr>
              <w:jc w:val="left"/>
            </w:pPr>
            <w:r/>
            <w:r>
              <w:rPr>
                <w:rFonts w:ascii="Calibri" w:hAnsi="Calibri"/>
                <w:color w:val="222222"/>
                <w:sz w:val="20"/>
              </w:rPr>
              <w:t>Complements graduate exploration with practical preparation.</w:t>
            </w:r>
          </w:p>
        </w:tc>
      </w:tr>
      <w:tr>
        <w:tc>
          <w:tcPr>
            <w:tcW w:type="dxa" w:w="2100"/>
            <w:tcMar>
              <w:top w:w="90" w:type="dxa"/>
              <w:start w:w="120" w:type="dxa"/>
              <w:bottom w:w="90" w:type="dxa"/>
              <w:end w:w="120" w:type="dxa"/>
            </w:tcMar>
            <w:vAlign w:val="center"/>
          </w:tcPr>
          <w:p>
            <w:pPr>
              <w:jc w:val="left"/>
            </w:pPr>
            <w:r/>
            <w:r>
              <w:rPr>
                <w:rFonts w:ascii="Calibri" w:hAnsi="Calibri"/>
                <w:color w:val="222222"/>
                <w:sz w:val="20"/>
              </w:rPr>
              <w:t>Traceability</w:t>
            </w:r>
          </w:p>
        </w:tc>
        <w:tc>
          <w:tcPr>
            <w:tcW w:type="dxa" w:w="3800"/>
            <w:tcMar>
              <w:top w:w="90" w:type="dxa"/>
              <w:start w:w="120" w:type="dxa"/>
              <w:bottom w:w="90" w:type="dxa"/>
              <w:end w:w="120" w:type="dxa"/>
            </w:tcMar>
            <w:vAlign w:val="center"/>
          </w:tcPr>
          <w:p>
            <w:pPr>
              <w:jc w:val="left"/>
            </w:pPr>
            <w:r/>
            <w:r>
              <w:rPr>
                <w:rFonts w:ascii="Calibri" w:hAnsi="Calibri"/>
                <w:color w:val="222222"/>
                <w:sz w:val="20"/>
              </w:rPr>
              <w:t>Sources and citations where available</w:t>
            </w:r>
          </w:p>
        </w:tc>
        <w:tc>
          <w:tcPr>
            <w:tcW w:type="dxa" w:w="3460"/>
            <w:tcMar>
              <w:top w:w="90" w:type="dxa"/>
              <w:start w:w="120" w:type="dxa"/>
              <w:bottom w:w="90" w:type="dxa"/>
              <w:end w:w="120" w:type="dxa"/>
            </w:tcMar>
            <w:vAlign w:val="center"/>
          </w:tcPr>
          <w:p>
            <w:pPr>
              <w:jc w:val="left"/>
            </w:pPr>
            <w:r/>
            <w:r>
              <w:rPr>
                <w:rFonts w:ascii="Calibri" w:hAnsi="Calibri"/>
                <w:color w:val="222222"/>
                <w:sz w:val="20"/>
              </w:rPr>
              <w:t>Does not eliminate the need to verify official information.</w:t>
            </w:r>
          </w:p>
        </w:tc>
      </w:tr>
    </w:tbl>
    <w:p>
      <w:pPr>
        <w:spacing w:before="80" w:after="160"/>
      </w:pPr>
      <w:r>
        <w:rPr>
          <w:rFonts w:ascii="Calibri" w:hAnsi="Calibri"/>
          <w:i/>
          <w:color w:val="555555"/>
          <w:sz w:val="18"/>
        </w:rPr>
        <w:t>Source: Docs/report/tables/table_02_similar_platforms.md and technical evidence.</w:t>
      </w:r>
    </w:p>
    <w:p>
      <w:pPr>
        <w:pStyle w:val="Heading2"/>
      </w:pPr>
      <w:r>
        <w:t>2.2 Design Implication</w:t>
      </w:r>
    </w:p>
    <w:p>
      <w:pPr>
        <w:jc w:val="both"/>
      </w:pPr>
      <w:r>
        <w:rPr>
          <w:rFonts w:ascii="Calibri" w:hAnsi="Calibri"/>
          <w:color w:val="222222"/>
          <w:sz w:val="24"/>
        </w:rPr>
        <w:t>The comparison supports a design in which conversational assistance is not the sole knowledge source. The retrieval layer, typed filters, and provenance structures are essential because they keep the system connected to recorded academic evidence.</w:t>
      </w:r>
    </w:p>
    <w:sectPr w:rsidR="00FC693F" w:rsidRPr="0006063C" w:rsidSect="00034616">
      <w:footerReference w:type="default" r:id="rId9"/>
      <w:headerReference w:type="default" r:id="rId10"/>
      <w:pgSz w:w="11909" w:h="16834"/>
      <w:pgMar w:top="994" w:right="1440" w:bottom="1440" w:left="1987" w:header="432"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20"/>
      </w:rPr>
      <w:t xml:space="preserve">uniAI Capstone Report | </w:t>
    </w:r>
    <w:r>
      <w:rPr>
        <w:rFonts w:ascii="Calibri" w:hAnsi="Calibri"/>
        <w:color w:val="222222"/>
        <w:sz w:val="20"/>
      </w:rPr>
      <w:fldChar w:fldCharType="begin"/>
      <w:instrText xml:space="preserve"> PAGE </w:instrText>
      <w:fldChar w:fldCharType="separate"/>
      <w:t>Update field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666"/>
        <w:sz w:val="20"/>
      </w:rPr>
      <w:t>uniAI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160" w:after="80"/>
      <w:jc w:val="center"/>
    </w:pPr>
    <w:rPr>
      <w:rFonts w:ascii="Calibri" w:hAnsi="Calibri"/>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