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Technology Selection</w:t>
      </w:r>
    </w:p>
    <w:p>
      <w:pPr>
        <w:jc w:val="both"/>
      </w:pPr>
      <w:r>
        <w:rPr>
          <w:rFonts w:ascii="Calibri" w:hAnsi="Calibri"/>
          <w:color w:val="222222"/>
          <w:sz w:val="24"/>
        </w:rPr>
        <w:t>Technology selection balanced practical maintainability, team familiarity, ecosystem support, and the need to deliver an integrated full-stack application. The choices do not imply that alternatives are unsuitable; they reflect the project context.</w:t>
      </w:r>
    </w:p>
    <w:p>
      <w:pPr>
        <w:pStyle w:val="FigureCaption"/>
        <w:jc w:val="center"/>
      </w:pPr>
      <w:r>
        <w:rPr>
          <w:rFonts w:ascii="Calibri" w:hAnsi="Calibri"/>
          <w:i/>
          <w:color w:val="222222"/>
          <w:sz w:val="22"/>
        </w:rPr>
        <w:t>Table 4.1: Principal technology stack</w:t>
      </w:r>
    </w:p>
    <w:tbl>
      <w:tblPr>
        <w:tblStyle w:val="TableGrid"/>
        <w:tblW w:type="dxa" w:w="9360"/>
        <w:jc w:val="center"/>
        <w:tblLayout w:type="fixed"/>
        <w:tblLook w:firstColumn="1" w:firstRow="1" w:lastColumn="0" w:lastRow="0" w:noHBand="0" w:noVBand="1" w:val="04A0"/>
      </w:tblPr>
      <w:tblGrid>
        <w:gridCol w:w="1800"/>
        <w:gridCol w:w="2700"/>
        <w:gridCol w:w="4860"/>
      </w:tblGrid>
      <w:tr>
        <w:trPr>
          <w:tblHeader w:val="true"/>
        </w:trPr>
        <w:tc>
          <w:tcPr>
            <w:tcW w:type="dxa" w:w="1800"/>
            <w:shd w:fill="D9EAF7"/>
            <w:tcMar>
              <w:top w:w="90" w:type="dxa"/>
              <w:start w:w="120" w:type="dxa"/>
              <w:bottom w:w="90" w:type="dxa"/>
              <w:end w:w="120" w:type="dxa"/>
            </w:tcMar>
            <w:vAlign w:val="center"/>
          </w:tcPr>
          <w:p>
            <w:pPr>
              <w:jc w:val="center"/>
            </w:pPr>
            <w:r/>
            <w:r>
              <w:rPr>
                <w:rFonts w:ascii="Calibri" w:hAnsi="Calibri"/>
                <w:b/>
                <w:color w:val="222222"/>
                <w:sz w:val="20"/>
              </w:rPr>
              <w:t>Layer</w:t>
            </w:r>
          </w:p>
        </w:tc>
        <w:tc>
          <w:tcPr>
            <w:tcW w:type="dxa" w:w="2700"/>
            <w:shd w:fill="D9EAF7"/>
            <w:tcMar>
              <w:top w:w="90" w:type="dxa"/>
              <w:start w:w="120" w:type="dxa"/>
              <w:bottom w:w="90" w:type="dxa"/>
              <w:end w:w="120" w:type="dxa"/>
            </w:tcMar>
            <w:vAlign w:val="center"/>
          </w:tcPr>
          <w:p>
            <w:pPr>
              <w:jc w:val="center"/>
            </w:pPr>
            <w:r/>
            <w:r>
              <w:rPr>
                <w:rFonts w:ascii="Calibri" w:hAnsi="Calibri"/>
                <w:b/>
                <w:color w:val="222222"/>
                <w:sz w:val="20"/>
              </w:rPr>
              <w:t>Technology</w:t>
            </w:r>
          </w:p>
        </w:tc>
        <w:tc>
          <w:tcPr>
            <w:tcW w:type="dxa" w:w="4860"/>
            <w:shd w:fill="D9EAF7"/>
            <w:tcMar>
              <w:top w:w="90" w:type="dxa"/>
              <w:start w:w="120" w:type="dxa"/>
              <w:bottom w:w="90" w:type="dxa"/>
              <w:end w:w="120" w:type="dxa"/>
            </w:tcMar>
            <w:vAlign w:val="center"/>
          </w:tcPr>
          <w:p>
            <w:pPr>
              <w:jc w:val="center"/>
            </w:pPr>
            <w:r/>
            <w:r>
              <w:rPr>
                <w:rFonts w:ascii="Calibri" w:hAnsi="Calibri"/>
                <w:b/>
                <w:color w:val="222222"/>
                <w:sz w:val="20"/>
              </w:rPr>
              <w:t>Project rationale</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Frontend</w:t>
            </w:r>
          </w:p>
        </w:tc>
        <w:tc>
          <w:tcPr>
            <w:tcW w:type="dxa" w:w="2700"/>
            <w:tcMar>
              <w:top w:w="90" w:type="dxa"/>
              <w:start w:w="120" w:type="dxa"/>
              <w:bottom w:w="90" w:type="dxa"/>
              <w:end w:w="120" w:type="dxa"/>
            </w:tcMar>
            <w:vAlign w:val="center"/>
          </w:tcPr>
          <w:p>
            <w:pPr>
              <w:jc w:val="left"/>
            </w:pPr>
            <w:r/>
            <w:r>
              <w:rPr>
                <w:rFonts w:ascii="Calibri" w:hAnsi="Calibri"/>
                <w:color w:val="222222"/>
                <w:sz w:val="20"/>
              </w:rPr>
              <w:t>React, TypeScript, Vite</w:t>
            </w:r>
          </w:p>
        </w:tc>
        <w:tc>
          <w:tcPr>
            <w:tcW w:type="dxa" w:w="4860"/>
            <w:tcMar>
              <w:top w:w="90" w:type="dxa"/>
              <w:start w:w="120" w:type="dxa"/>
              <w:bottom w:w="90" w:type="dxa"/>
              <w:end w:w="120" w:type="dxa"/>
            </w:tcMar>
            <w:vAlign w:val="center"/>
          </w:tcPr>
          <w:p>
            <w:pPr>
              <w:jc w:val="left"/>
            </w:pPr>
            <w:r/>
            <w:r>
              <w:rPr>
                <w:rFonts w:ascii="Calibri" w:hAnsi="Calibri"/>
                <w:color w:val="222222"/>
                <w:sz w:val="20"/>
              </w:rPr>
              <w:t>Component reuse, typed UI development, fast iteration, REST integration.</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Backend</w:t>
            </w:r>
          </w:p>
        </w:tc>
        <w:tc>
          <w:tcPr>
            <w:tcW w:type="dxa" w:w="2700"/>
            <w:tcMar>
              <w:top w:w="90" w:type="dxa"/>
              <w:start w:w="120" w:type="dxa"/>
              <w:bottom w:w="90" w:type="dxa"/>
              <w:end w:w="120" w:type="dxa"/>
            </w:tcMar>
            <w:vAlign w:val="center"/>
          </w:tcPr>
          <w:p>
            <w:pPr>
              <w:jc w:val="left"/>
            </w:pPr>
            <w:r/>
            <w:r>
              <w:rPr>
                <w:rFonts w:ascii="Calibri" w:hAnsi="Calibri"/>
                <w:color w:val="222222"/>
                <w:sz w:val="20"/>
              </w:rPr>
              <w:t>Java 17, Spring Boot, Spring Security, JPA/JDBC</w:t>
            </w:r>
          </w:p>
        </w:tc>
        <w:tc>
          <w:tcPr>
            <w:tcW w:type="dxa" w:w="4860"/>
            <w:tcMar>
              <w:top w:w="90" w:type="dxa"/>
              <w:start w:w="120" w:type="dxa"/>
              <w:bottom w:w="90" w:type="dxa"/>
              <w:end w:w="120" w:type="dxa"/>
            </w:tcMar>
            <w:vAlign w:val="center"/>
          </w:tcPr>
          <w:p>
            <w:pPr>
              <w:jc w:val="left"/>
            </w:pPr>
            <w:r/>
            <w:r>
              <w:rPr>
                <w:rFonts w:ascii="Calibri" w:hAnsi="Calibri"/>
                <w:color w:val="222222"/>
                <w:sz w:val="20"/>
              </w:rPr>
              <w:t>Structured services, dependency injection, validation, security, and persistence support.</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Data</w:t>
            </w:r>
          </w:p>
        </w:tc>
        <w:tc>
          <w:tcPr>
            <w:tcW w:type="dxa" w:w="2700"/>
            <w:tcMar>
              <w:top w:w="90" w:type="dxa"/>
              <w:start w:w="120" w:type="dxa"/>
              <w:bottom w:w="90" w:type="dxa"/>
              <w:end w:w="120" w:type="dxa"/>
            </w:tcMar>
            <w:vAlign w:val="center"/>
          </w:tcPr>
          <w:p>
            <w:pPr>
              <w:jc w:val="left"/>
            </w:pPr>
            <w:r/>
            <w:r>
              <w:rPr>
                <w:rFonts w:ascii="Calibri" w:hAnsi="Calibri"/>
                <w:color w:val="222222"/>
                <w:sz w:val="20"/>
              </w:rPr>
              <w:t>PostgreSQL, Flyway</w:t>
            </w:r>
          </w:p>
        </w:tc>
        <w:tc>
          <w:tcPr>
            <w:tcW w:type="dxa" w:w="4860"/>
            <w:tcMar>
              <w:top w:w="90" w:type="dxa"/>
              <w:start w:w="120" w:type="dxa"/>
              <w:bottom w:w="90" w:type="dxa"/>
              <w:end w:w="120" w:type="dxa"/>
            </w:tcMar>
            <w:vAlign w:val="center"/>
          </w:tcPr>
          <w:p>
            <w:pPr>
              <w:jc w:val="left"/>
            </w:pPr>
            <w:r/>
            <w:r>
              <w:rPr>
                <w:rFonts w:ascii="Calibri" w:hAnsi="Calibri"/>
                <w:color w:val="222222"/>
                <w:sz w:val="20"/>
              </w:rPr>
              <w:t>Relational integrity and versioned schema/data migrations.</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Infrastructure</w:t>
            </w:r>
          </w:p>
        </w:tc>
        <w:tc>
          <w:tcPr>
            <w:tcW w:type="dxa" w:w="2700"/>
            <w:tcMar>
              <w:top w:w="90" w:type="dxa"/>
              <w:start w:w="120" w:type="dxa"/>
              <w:bottom w:w="90" w:type="dxa"/>
              <w:end w:w="120" w:type="dxa"/>
            </w:tcMar>
            <w:vAlign w:val="center"/>
          </w:tcPr>
          <w:p>
            <w:pPr>
              <w:jc w:val="left"/>
            </w:pPr>
            <w:r/>
            <w:r>
              <w:rPr>
                <w:rFonts w:ascii="Calibri" w:hAnsi="Calibri"/>
                <w:color w:val="222222"/>
                <w:sz w:val="20"/>
              </w:rPr>
              <w:t>Docker Compose, nginx</w:t>
            </w:r>
          </w:p>
        </w:tc>
        <w:tc>
          <w:tcPr>
            <w:tcW w:type="dxa" w:w="4860"/>
            <w:tcMar>
              <w:top w:w="90" w:type="dxa"/>
              <w:start w:w="120" w:type="dxa"/>
              <w:bottom w:w="90" w:type="dxa"/>
              <w:end w:w="120" w:type="dxa"/>
            </w:tcMar>
            <w:vAlign w:val="center"/>
          </w:tcPr>
          <w:p>
            <w:pPr>
              <w:jc w:val="left"/>
            </w:pPr>
            <w:r/>
            <w:r>
              <w:rPr>
                <w:rFonts w:ascii="Calibri" w:hAnsi="Calibri"/>
                <w:color w:val="222222"/>
                <w:sz w:val="20"/>
              </w:rPr>
              <w:t>Repeatable services, local collaboration, and proxy support.</w:t>
            </w:r>
          </w:p>
        </w:tc>
      </w:tr>
      <w:tr>
        <w:tc>
          <w:tcPr>
            <w:tcW w:type="dxa" w:w="1800"/>
            <w:tcMar>
              <w:top w:w="90" w:type="dxa"/>
              <w:start w:w="120" w:type="dxa"/>
              <w:bottom w:w="90" w:type="dxa"/>
              <w:end w:w="120" w:type="dxa"/>
            </w:tcMar>
            <w:vAlign w:val="center"/>
          </w:tcPr>
          <w:p>
            <w:pPr>
              <w:jc w:val="left"/>
            </w:pPr>
            <w:r/>
            <w:r>
              <w:rPr>
                <w:rFonts w:ascii="Calibri" w:hAnsi="Calibri"/>
                <w:color w:val="222222"/>
                <w:sz w:val="20"/>
              </w:rPr>
              <w:t>AI</w:t>
            </w:r>
          </w:p>
        </w:tc>
        <w:tc>
          <w:tcPr>
            <w:tcW w:type="dxa" w:w="2700"/>
            <w:tcMar>
              <w:top w:w="90" w:type="dxa"/>
              <w:start w:w="120" w:type="dxa"/>
              <w:bottom w:w="90" w:type="dxa"/>
              <w:end w:w="120" w:type="dxa"/>
            </w:tcMar>
            <w:vAlign w:val="center"/>
          </w:tcPr>
          <w:p>
            <w:pPr>
              <w:jc w:val="left"/>
            </w:pPr>
            <w:r/>
            <w:r>
              <w:rPr>
                <w:rFonts w:ascii="Calibri" w:hAnsi="Calibri"/>
                <w:color w:val="222222"/>
                <w:sz w:val="20"/>
              </w:rPr>
              <w:t>Configurable provider adapters</w:t>
            </w:r>
          </w:p>
        </w:tc>
        <w:tc>
          <w:tcPr>
            <w:tcW w:type="dxa" w:w="4860"/>
            <w:tcMar>
              <w:top w:w="90" w:type="dxa"/>
              <w:start w:w="120" w:type="dxa"/>
              <w:bottom w:w="90" w:type="dxa"/>
              <w:end w:w="120" w:type="dxa"/>
            </w:tcMar>
            <w:vAlign w:val="center"/>
          </w:tcPr>
          <w:p>
            <w:pPr>
              <w:jc w:val="left"/>
            </w:pPr>
            <w:r/>
            <w:r>
              <w:rPr>
                <w:rFonts w:ascii="Calibri" w:hAnsi="Calibri"/>
                <w:color w:val="222222"/>
                <w:sz w:val="20"/>
              </w:rPr>
              <w:t>Separates application orchestration from a selected external provider.</w:t>
            </w:r>
          </w:p>
        </w:tc>
      </w:tr>
    </w:tbl>
    <w:p>
      <w:pPr>
        <w:spacing w:before="80" w:after="160"/>
      </w:pPr>
      <w:r>
        <w:rPr>
          <w:rFonts w:ascii="Calibri" w:hAnsi="Calibri"/>
          <w:i/>
          <w:color w:val="555555"/>
          <w:sz w:val="18"/>
        </w:rPr>
        <w:t>Source: Docs/report/tables/table_24_technology_stack.md.</w:t>
      </w:r>
    </w:p>
    <w:p>
      <w:pPr>
        <w:pStyle w:val="Heading2"/>
      </w:pPr>
      <w:r>
        <w:t>4.1 Why React and TypeScript</w:t>
      </w:r>
    </w:p>
    <w:p>
      <w:pPr>
        <w:jc w:val="both"/>
      </w:pPr>
      <w:r>
        <w:rPr>
          <w:rFonts w:ascii="Calibri" w:hAnsi="Calibri"/>
          <w:color w:val="222222"/>
          <w:sz w:val="24"/>
        </w:rPr>
        <w:t>React was selected because the development team had prior experience with it and could therefore iterate quickly. Its component model supports reusable screens and controls, while TypeScript improves interface clarity around DTOs, services, hooks, and rendering state. The React ecosystem also integrates naturally with REST APIs and responsive interface requirements.</w:t>
      </w:r>
    </w:p>
    <w:p>
      <w:pPr>
        <w:pStyle w:val="Heading2"/>
      </w:pPr>
      <w:r>
        <w:t>4.2 Why Spring Boot</w:t>
      </w:r>
    </w:p>
    <w:p>
      <w:pPr>
        <w:jc w:val="both"/>
      </w:pPr>
      <w:r>
        <w:rPr>
          <w:rFonts w:ascii="Calibri" w:hAnsi="Calibri"/>
          <w:color w:val="222222"/>
          <w:sz w:val="24"/>
        </w:rPr>
        <w:t>Spring Boot was selected because the developer had strong familiarity with Java and Spring Boot. This practical knowledge supported reliable implementation of REST APIs, dependency injection, validation, security, JPA/JDBC persistence, modular configuration, and testable backend services. Spring Security was particularly relevant to JWT authentication and role-protected administration.</w:t>
      </w:r>
    </w:p>
    <w:p>
      <w:pPr>
        <w:pStyle w:val="Heading2"/>
      </w:pPr>
      <w:r>
        <w:t>4.3 Why PostgreSQL and Flyway</w:t>
      </w:r>
    </w:p>
    <w:p>
      <w:pPr>
        <w:jc w:val="both"/>
      </w:pPr>
      <w:r>
        <w:rPr>
          <w:rFonts w:ascii="Calibri" w:hAnsi="Calibri"/>
          <w:color w:val="222222"/>
          <w:sz w:val="24"/>
        </w:rPr>
        <w:t>PostgreSQL provides the relational model required by users, chats, CV data, university records, programmes, tuition, admissions, and sources. Flyway records the ordered evolution of schema and seed data, improving reproducibility and traceability across team environments.</w:t>
      </w:r>
    </w:p>
    <w:p>
      <w:pPr>
        <w:pStyle w:val="Heading2"/>
      </w:pPr>
      <w:r>
        <w:t>4.4 Why Docker</w:t>
      </w:r>
    </w:p>
    <w:p>
      <w:pPr>
        <w:jc w:val="both"/>
      </w:pPr>
      <w:r>
        <w:rPr>
          <w:rFonts w:ascii="Calibri" w:hAnsi="Calibri"/>
          <w:color w:val="222222"/>
          <w:sz w:val="24"/>
        </w:rPr>
        <w:t>Docker was selected for collaboration and environment consistency. Team members can work on different backend features, branches, and machines while using the same PostgreSQL version and the same declared runtime services. Docker Compose reduces machine-specific setup differences, simplifies onboarding, isolates services, and helps avoid “works on my machine” failures. A developer primarily needs Docker installed rather than manually recreating every runtime dependency. The same composition also provides a useful basis for future deployment consistency.</w:t>
      </w:r>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