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5. System Architecture</w:t>
      </w:r>
    </w:p>
    <w:p>
      <w:pPr>
        <w:jc w:val="both"/>
      </w:pPr>
      <w:r>
        <w:rPr>
          <w:rFonts w:ascii="Calibri" w:hAnsi="Calibri"/>
          <w:color w:val="222222"/>
          <w:sz w:val="24"/>
        </w:rPr>
        <w:t>uniAI is a browser-based single-page application backed by Spring REST APIs and one configured PostgreSQL database. nginx fronts the Docker stack where applicable. The chat module introduces a configurable AI provider boundary and structured graduate retrieval. The architecture is pragmatic: it applies Domain-Driven Design (DDD), Hexagonal Architecture, and layered design principles where they improve clarity and testability, while retaining JPA entities in several domain-oriented modules.</w:t>
      </w:r>
    </w:p>
    <w:p>
      <w:pPr>
        <w:pStyle w:val="Heading2"/>
      </w:pPr>
      <w:r>
        <w:t>5.1 Architectural Layers</w:t>
      </w:r>
    </w:p>
    <w:p>
      <w:pPr>
        <w:pStyle w:val="FigureCaption"/>
        <w:jc w:val="center"/>
      </w:pPr>
      <w:r>
        <w:rPr>
          <w:rFonts w:ascii="Calibri" w:hAnsi="Calibri"/>
          <w:i/>
          <w:color w:val="222222"/>
          <w:sz w:val="22"/>
        </w:rPr>
        <w:t>Table 5.1: Backend layer responsibilities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3900"/>
        <w:gridCol w:w="3860"/>
      </w:tblGrid>
      <w:tr>
        <w:trPr>
          <w:tblHeader w:val="true"/>
        </w:trPr>
        <w:tc>
          <w:tcPr>
            <w:tcW w:type="dxa" w:w="16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Layer</w:t>
            </w:r>
          </w:p>
        </w:tc>
        <w:tc>
          <w:tcPr>
            <w:tcW w:type="dxa" w:w="39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Responsibility</w:t>
            </w:r>
          </w:p>
        </w:tc>
        <w:tc>
          <w:tcPr>
            <w:tcW w:type="dxa" w:w="386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22222"/>
                <w:sz w:val="20"/>
              </w:rPr>
              <w:t>Examples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Presentation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HTTP routing, request/response DTOs, access boundaries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ChatController, AuthController, CVController, AdminController.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Application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Use-case orchestration and transaction-facing workflows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ChatApplicationService, AuthApplicationService, CV application services.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Domain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Business concepts, ports, models, repository abstractions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GraduateKnowledgeQuery, ports, user and catalogue models.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Infrastructure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Persistence adapters, SQL/JPA, provider adapters, configuration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color w:val="222222"/>
                <w:sz w:val="20"/>
              </w:rPr>
              <w:t>SqlGraduateKnowledgeRetrievalAdapter, repository adapters, ChatAiConfiguration.</w:t>
            </w:r>
          </w:p>
        </w:tc>
      </w:tr>
    </w:tbl>
    <w:p>
      <w:pPr>
        <w:spacing w:before="80" w:after="160"/>
      </w:pPr>
      <w:r>
        <w:rPr>
          <w:rFonts w:ascii="Calibri" w:hAnsi="Calibri"/>
          <w:i/>
          <w:color w:val="555555"/>
          <w:sz w:val="18"/>
        </w:rPr>
        <w:t>Source: Docs/report/technical/06_system_architecture.md and 07_backend_architecture.md.</w:t>
      </w:r>
    </w:p>
    <w:p>
      <w:pPr>
        <w:pStyle w:val="Heading2"/>
      </w:pPr>
      <w:r>
        <w:t>5.2 Dependency Inversion and Ports</w:t>
      </w:r>
    </w:p>
    <w:p>
      <w:pPr>
        <w:jc w:val="both"/>
      </w:pPr>
      <w:r>
        <w:rPr>
          <w:rFonts w:ascii="Calibri" w:hAnsi="Calibri"/>
          <w:color w:val="222222"/>
          <w:sz w:val="24"/>
        </w:rPr>
        <w:t>Application services depend on interfaces such as retrieval and AI provider ports rather than directly on SQL or a provider SDK. Infrastructure adapters satisfy those ports. This permits targeted tests and keeps provider/database details outside orchestration code. The implementation is not described as perfectly pure DDD because persistence annotations and practical module decisions remain visible in the domain model.</w:t>
      </w:r>
    </w:p>
    <w:p>
      <w:pPr>
        <w:pStyle w:val="Heading2"/>
      </w:pPr>
      <w:r>
        <w:t>5.3 Frontend Architecture</w:t>
      </w:r>
    </w:p>
    <w:p>
      <w:pPr>
        <w:jc w:val="both"/>
      </w:pPr>
      <w:r>
        <w:rPr>
          <w:rFonts w:ascii="Calibri" w:hAnsi="Calibri"/>
          <w:color w:val="222222"/>
          <w:sz w:val="24"/>
        </w:rPr>
        <w:t>The client is a React 19 TypeScript SPA. Routing is defined in `Client/src/router.tsx`; feature code is organised across pages, reusable components, hooks, contexts, service modules, HTTP integration, and types. Protected and ADMIN-protected routes enforce client navigation boundaries while the backend remains the authorization authority. Axios-based service code separates API communication from rendering concerns.</w:t>
      </w:r>
    </w:p>
    <w:p>
      <w:pPr>
        <w:pStyle w:val="FigureCaption"/>
      </w:pPr>
      <w:r>
        <w:t>Figure 5.1: High-Level System Architecture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666666"/>
                <w:sz w:val="24"/>
              </w:rPr>
              <w:t>[PLACEHOLDER FOR DIAGRAM]</w:t>
            </w:r>
          </w:p>
          <w:p>
            <w:pPr>
              <w:jc w:val="left"/>
            </w:pPr>
            <w:r>
              <w:rPr>
                <w:rFonts w:ascii="Calibri" w:hAnsi="Calibri"/>
                <w:b/>
                <w:color w:val="444444"/>
                <w:sz w:val="20"/>
              </w:rPr>
              <w:t xml:space="preserve">Expected image: </w:t>
            </w:r>
            <w:r>
              <w:rPr>
                <w:rFonts w:ascii="Calibri" w:hAnsi="Calibri"/>
                <w:color w:val="444444"/>
                <w:sz w:val="20"/>
              </w:rPr>
              <w:t>Browser SPA, nginx, Spring Boot modules, PostgreSQL, and configurable AI provider boundary.</w:t>
            </w:r>
          </w:p>
          <w:p>
            <w:pPr>
              <w:jc w:val="left"/>
            </w:pPr>
            <w:r>
              <w:rPr>
                <w:rFonts w:ascii="Calibri" w:hAnsi="Calibri"/>
                <w:b/>
                <w:color w:val="444444"/>
                <w:sz w:val="20"/>
              </w:rPr>
              <w:t xml:space="preserve">Source: </w:t>
            </w:r>
            <w:r>
              <w:rPr>
                <w:rFonts w:ascii="Calibri" w:hAnsi="Calibri"/>
                <w:color w:val="444444"/>
                <w:sz w:val="20"/>
              </w:rPr>
              <w:t>Docs/report/diagrams/system/high_level_architecture.puml</w:t>
            </w:r>
          </w:p>
        </w:tc>
      </w:tr>
    </w:tbl>
    <w:p/>
    <w:p>
      <w:pPr>
        <w:pStyle w:val="FigureCaption"/>
      </w:pPr>
      <w:r>
        <w:t>Figure 5.2: Backend Hexagonal Architecture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666666"/>
                <w:sz w:val="24"/>
              </w:rPr>
              <w:t>[PLACEHOLDER FOR DIAGRAM]</w:t>
            </w:r>
          </w:p>
          <w:p>
            <w:pPr>
              <w:jc w:val="left"/>
            </w:pPr>
            <w:r>
              <w:rPr>
                <w:rFonts w:ascii="Calibri" w:hAnsi="Calibri"/>
                <w:b/>
                <w:color w:val="444444"/>
                <w:sz w:val="20"/>
              </w:rPr>
              <w:t xml:space="preserve">Expected image: </w:t>
            </w:r>
            <w:r>
              <w:rPr>
                <w:rFonts w:ascii="Calibri" w:hAnsi="Calibri"/>
                <w:color w:val="444444"/>
                <w:sz w:val="20"/>
              </w:rPr>
              <w:t>Presentation controllers, application services, ports, and infrastructure adapters.</w:t>
            </w:r>
          </w:p>
          <w:p>
            <w:pPr>
              <w:jc w:val="left"/>
            </w:pPr>
            <w:r>
              <w:rPr>
                <w:rFonts w:ascii="Calibri" w:hAnsi="Calibri"/>
                <w:b/>
                <w:color w:val="444444"/>
                <w:sz w:val="20"/>
              </w:rPr>
              <w:t xml:space="preserve">Source: </w:t>
            </w:r>
            <w:r>
              <w:rPr>
                <w:rFonts w:ascii="Calibri" w:hAnsi="Calibri"/>
                <w:color w:val="444444"/>
                <w:sz w:val="20"/>
              </w:rPr>
              <w:t>Docs/report/diagrams/backend/backend_hexagonal_architecture.puml</w:t>
            </w:r>
          </w:p>
        </w:tc>
      </w:tr>
    </w:tbl>
    <w:p/>
    <w:p>
      <w:pPr>
        <w:pStyle w:val="FigureCaption"/>
      </w:pPr>
      <w:r>
        <w:t>Figure 5.3: Frontend Component Architecture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666666"/>
                <w:sz w:val="24"/>
              </w:rPr>
              <w:t>[PLACEHOLDER FOR DIAGRAM]</w:t>
            </w:r>
          </w:p>
          <w:p>
            <w:pPr>
              <w:jc w:val="left"/>
            </w:pPr>
            <w:r>
              <w:rPr>
                <w:rFonts w:ascii="Calibri" w:hAnsi="Calibri"/>
                <w:b/>
                <w:color w:val="444444"/>
                <w:sz w:val="20"/>
              </w:rPr>
              <w:t xml:space="preserve">Expected image: </w:t>
            </w:r>
            <w:r>
              <w:rPr>
                <w:rFonts w:ascii="Calibri" w:hAnsi="Calibri"/>
                <w:color w:val="444444"/>
                <w:sz w:val="20"/>
              </w:rPr>
              <w:t>React pages, components, hooks, contexts, services, and router boundaries.</w:t>
            </w:r>
          </w:p>
          <w:p>
            <w:pPr>
              <w:jc w:val="left"/>
            </w:pPr>
            <w:r>
              <w:rPr>
                <w:rFonts w:ascii="Calibri" w:hAnsi="Calibri"/>
                <w:b/>
                <w:color w:val="444444"/>
                <w:sz w:val="20"/>
              </w:rPr>
              <w:t xml:space="preserve">Source: </w:t>
            </w:r>
            <w:r>
              <w:rPr>
                <w:rFonts w:ascii="Calibri" w:hAnsi="Calibri"/>
                <w:color w:val="444444"/>
                <w:sz w:val="20"/>
              </w:rPr>
              <w:t>Docs/report/diagrams/frontend/frontend_component_architecture.puml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1909" w:h="16834"/>
      <w:pgMar w:top="994" w:right="1440" w:bottom="1440" w:left="1987" w:header="432" w:footer="64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20"/>
      </w:rPr>
      <w:t xml:space="preserve">uniAI Capstone Report | </w:t>
    </w:r>
    <w:r>
      <w:rPr>
        <w:rFonts w:ascii="Calibri" w:hAnsi="Calibri"/>
        <w:color w:val="222222"/>
        <w:sz w:val="20"/>
      </w:rPr>
      <w:fldChar w:fldCharType="begin"/>
      <w:instrText xml:space="preserve"> PAGE </w:instrText>
      <w:fldChar w:fldCharType="separate"/>
      <w:t>Update field in Word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6666"/>
        <w:sz w:val="20"/>
      </w:rPr>
      <w:t>uniAI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160" w:after="80"/>
      <w:jc w:val="center"/>
    </w:pPr>
    <w:rPr>
      <w:rFonts w:ascii="Calibri" w:hAnsi="Calibri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