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Database Design</w:t>
      </w:r>
    </w:p>
    <w:p>
      <w:pPr>
        <w:jc w:val="both"/>
      </w:pPr>
      <w:r>
        <w:rPr>
          <w:rFonts w:ascii="Calibri" w:hAnsi="Calibri"/>
          <w:color w:val="222222"/>
          <w:sz w:val="24"/>
        </w:rPr>
        <w:t>The system uses one physical PostgreSQL database. For documentation clarity, the schema is divided into two logical views: the core application domain and the AI/graduate-knowledge domain. This division is conceptual and does not imply separate deployed databases.</w:t>
      </w:r>
    </w:p>
    <w:p>
      <w:pPr>
        <w:pStyle w:val="Heading2"/>
      </w:pPr>
      <w:r>
        <w:t>6.1 Core Application Database</w:t>
      </w:r>
    </w:p>
    <w:p>
      <w:pPr>
        <w:jc w:val="both"/>
      </w:pPr>
      <w:r>
        <w:rPr>
          <w:rFonts w:ascii="Calibri" w:hAnsi="Calibri"/>
          <w:color w:val="222222"/>
          <w:sz w:val="24"/>
        </w:rPr>
        <w:t>The core view includes identity, verification, profile, CV, chat, message, feedback, and other application-facing records. Flyway migrations V1–V22, V4–V13, V14, and V56 provide the primary schema evidence.</w:t>
      </w:r>
    </w:p>
    <w:p>
      <w:pPr>
        <w:pStyle w:val="FigureCaption"/>
        <w:jc w:val="center"/>
      </w:pPr>
      <w:r>
        <w:rPr>
          <w:rFonts w:ascii="Calibri" w:hAnsi="Calibri"/>
          <w:i/>
          <w:color w:val="222222"/>
          <w:sz w:val="22"/>
        </w:rPr>
        <w:t>Table 6.1: Core application entities</w:t>
      </w:r>
    </w:p>
    <w:tbl>
      <w:tblPr>
        <w:tblStyle w:val="TableGrid"/>
        <w:tblW w:type="dxa" w:w="9360"/>
        <w:jc w:val="center"/>
        <w:tblLayout w:type="fixed"/>
        <w:tblLook w:firstColumn="1" w:firstRow="1" w:lastColumn="0" w:lastRow="0" w:noHBand="0" w:noVBand="1" w:val="04A0"/>
      </w:tblPr>
      <w:tblGrid>
        <w:gridCol w:w="3000"/>
        <w:gridCol w:w="6360"/>
      </w:tblGrid>
      <w:tr>
        <w:trPr>
          <w:tblHeader w:val="true"/>
        </w:trPr>
        <w:tc>
          <w:tcPr>
            <w:tcW w:type="dxa" w:w="3000"/>
            <w:shd w:fill="D9EAF7"/>
            <w:tcMar>
              <w:top w:w="90" w:type="dxa"/>
              <w:start w:w="120" w:type="dxa"/>
              <w:bottom w:w="90" w:type="dxa"/>
              <w:end w:w="120" w:type="dxa"/>
            </w:tcMar>
            <w:vAlign w:val="center"/>
          </w:tcPr>
          <w:p>
            <w:pPr>
              <w:jc w:val="center"/>
            </w:pPr>
            <w:r/>
            <w:r>
              <w:rPr>
                <w:rFonts w:ascii="Calibri" w:hAnsi="Calibri"/>
                <w:b/>
                <w:color w:val="222222"/>
                <w:sz w:val="20"/>
              </w:rPr>
              <w:t>Entity family</w:t>
            </w:r>
          </w:p>
        </w:tc>
        <w:tc>
          <w:tcPr>
            <w:tcW w:type="dxa" w:w="6360"/>
            <w:shd w:fill="D9EAF7"/>
            <w:tcMar>
              <w:top w:w="90" w:type="dxa"/>
              <w:start w:w="120" w:type="dxa"/>
              <w:bottom w:w="90" w:type="dxa"/>
              <w:end w:w="120" w:type="dxa"/>
            </w:tcMar>
            <w:vAlign w:val="center"/>
          </w:tcPr>
          <w:p>
            <w:pPr>
              <w:jc w:val="center"/>
            </w:pPr>
            <w:r/>
            <w:r>
              <w:rPr>
                <w:rFonts w:ascii="Calibri" w:hAnsi="Calibri"/>
                <w:b/>
                <w:color w:val="222222"/>
                <w:sz w:val="20"/>
              </w:rPr>
              <w:t>Responsibility</w:t>
            </w:r>
          </w:p>
        </w:tc>
      </w:tr>
      <w:tr>
        <w:tc>
          <w:tcPr>
            <w:tcW w:type="dxa" w:w="3000"/>
            <w:tcMar>
              <w:top w:w="90" w:type="dxa"/>
              <w:start w:w="120" w:type="dxa"/>
              <w:bottom w:w="90" w:type="dxa"/>
              <w:end w:w="120" w:type="dxa"/>
            </w:tcMar>
            <w:vAlign w:val="center"/>
          </w:tcPr>
          <w:p>
            <w:pPr>
              <w:jc w:val="left"/>
            </w:pPr>
            <w:r/>
            <w:r>
              <w:rPr>
                <w:rFonts w:ascii="Calibri" w:hAnsi="Calibri"/>
                <w:color w:val="222222"/>
                <w:sz w:val="20"/>
              </w:rPr>
              <w:t>users; verification_code</w:t>
            </w:r>
          </w:p>
        </w:tc>
        <w:tc>
          <w:tcPr>
            <w:tcW w:type="dxa" w:w="6360"/>
            <w:tcMar>
              <w:top w:w="90" w:type="dxa"/>
              <w:start w:w="120" w:type="dxa"/>
              <w:bottom w:w="90" w:type="dxa"/>
              <w:end w:w="120" w:type="dxa"/>
            </w:tcMar>
            <w:vAlign w:val="center"/>
          </w:tcPr>
          <w:p>
            <w:pPr>
              <w:jc w:val="left"/>
            </w:pPr>
            <w:r/>
            <w:r>
              <w:rPr>
                <w:rFonts w:ascii="Calibri" w:hAnsi="Calibri"/>
                <w:color w:val="222222"/>
                <w:sz w:val="20"/>
              </w:rPr>
              <w:t>Identity, password/authentication support, verification, and role data.</w:t>
            </w:r>
          </w:p>
        </w:tc>
      </w:tr>
      <w:tr>
        <w:tc>
          <w:tcPr>
            <w:tcW w:type="dxa" w:w="3000"/>
            <w:tcMar>
              <w:top w:w="90" w:type="dxa"/>
              <w:start w:w="120" w:type="dxa"/>
              <w:bottom w:w="90" w:type="dxa"/>
              <w:end w:w="120" w:type="dxa"/>
            </w:tcMar>
            <w:vAlign w:val="center"/>
          </w:tcPr>
          <w:p>
            <w:pPr>
              <w:jc w:val="left"/>
            </w:pPr>
            <w:r/>
            <w:r>
              <w:rPr>
                <w:rFonts w:ascii="Calibri" w:hAnsi="Calibri"/>
                <w:color w:val="222222"/>
                <w:sz w:val="20"/>
              </w:rPr>
              <w:t>personal_info</w:t>
            </w:r>
          </w:p>
        </w:tc>
        <w:tc>
          <w:tcPr>
            <w:tcW w:type="dxa" w:w="6360"/>
            <w:tcMar>
              <w:top w:w="90" w:type="dxa"/>
              <w:start w:w="120" w:type="dxa"/>
              <w:bottom w:w="90" w:type="dxa"/>
              <w:end w:w="120" w:type="dxa"/>
            </w:tcMar>
            <w:vAlign w:val="center"/>
          </w:tcPr>
          <w:p>
            <w:pPr>
              <w:jc w:val="left"/>
            </w:pPr>
            <w:r/>
            <w:r>
              <w:rPr>
                <w:rFonts w:ascii="Calibri" w:hAnsi="Calibri"/>
                <w:color w:val="222222"/>
                <w:sz w:val="20"/>
              </w:rPr>
              <w:t>User profile and completeness-related details.</w:t>
            </w:r>
          </w:p>
        </w:tc>
      </w:tr>
      <w:tr>
        <w:tc>
          <w:tcPr>
            <w:tcW w:type="dxa" w:w="3000"/>
            <w:tcMar>
              <w:top w:w="90" w:type="dxa"/>
              <w:start w:w="120" w:type="dxa"/>
              <w:bottom w:w="90" w:type="dxa"/>
              <w:end w:w="120" w:type="dxa"/>
            </w:tcMar>
            <w:vAlign w:val="center"/>
          </w:tcPr>
          <w:p>
            <w:pPr>
              <w:jc w:val="left"/>
            </w:pPr>
            <w:r/>
            <w:r>
              <w:rPr>
                <w:rFonts w:ascii="Calibri" w:hAnsi="Calibri"/>
                <w:color w:val="222222"/>
                <w:sz w:val="20"/>
              </w:rPr>
              <w:t>cvs; cv_templates; section data</w:t>
            </w:r>
          </w:p>
        </w:tc>
        <w:tc>
          <w:tcPr>
            <w:tcW w:type="dxa" w:w="6360"/>
            <w:tcMar>
              <w:top w:w="90" w:type="dxa"/>
              <w:start w:w="120" w:type="dxa"/>
              <w:bottom w:w="90" w:type="dxa"/>
              <w:end w:w="120" w:type="dxa"/>
            </w:tcMar>
            <w:vAlign w:val="center"/>
          </w:tcPr>
          <w:p>
            <w:pPr>
              <w:jc w:val="left"/>
            </w:pPr>
            <w:r/>
            <w:r>
              <w:rPr>
                <w:rFonts w:ascii="Calibri" w:hAnsi="Calibri"/>
                <w:color w:val="222222"/>
                <w:sz w:val="20"/>
              </w:rPr>
              <w:t>CV Builder structures and user-selected data.</w:t>
            </w:r>
          </w:p>
        </w:tc>
      </w:tr>
      <w:tr>
        <w:tc>
          <w:tcPr>
            <w:tcW w:type="dxa" w:w="3000"/>
            <w:tcMar>
              <w:top w:w="90" w:type="dxa"/>
              <w:start w:w="120" w:type="dxa"/>
              <w:bottom w:w="90" w:type="dxa"/>
              <w:end w:w="120" w:type="dxa"/>
            </w:tcMar>
            <w:vAlign w:val="center"/>
          </w:tcPr>
          <w:p>
            <w:pPr>
              <w:jc w:val="left"/>
            </w:pPr>
            <w:r/>
            <w:r>
              <w:rPr>
                <w:rFonts w:ascii="Calibri" w:hAnsi="Calibri"/>
                <w:color w:val="222222"/>
                <w:sz w:val="20"/>
              </w:rPr>
              <w:t>chats; messages</w:t>
            </w:r>
          </w:p>
        </w:tc>
        <w:tc>
          <w:tcPr>
            <w:tcW w:type="dxa" w:w="6360"/>
            <w:tcMar>
              <w:top w:w="90" w:type="dxa"/>
              <w:start w:w="120" w:type="dxa"/>
              <w:bottom w:w="90" w:type="dxa"/>
              <w:end w:w="120" w:type="dxa"/>
            </w:tcMar>
            <w:vAlign w:val="center"/>
          </w:tcPr>
          <w:p>
            <w:pPr>
              <w:jc w:val="left"/>
            </w:pPr>
            <w:r/>
            <w:r>
              <w:rPr>
                <w:rFonts w:ascii="Calibri" w:hAnsi="Calibri"/>
                <w:color w:val="222222"/>
                <w:sz w:val="20"/>
              </w:rPr>
              <w:t>Conversation persistence and history.</w:t>
            </w:r>
          </w:p>
        </w:tc>
      </w:tr>
      <w:tr>
        <w:tc>
          <w:tcPr>
            <w:tcW w:type="dxa" w:w="3000"/>
            <w:tcMar>
              <w:top w:w="90" w:type="dxa"/>
              <w:start w:w="120" w:type="dxa"/>
              <w:bottom w:w="90" w:type="dxa"/>
              <w:end w:w="120" w:type="dxa"/>
            </w:tcMar>
            <w:vAlign w:val="center"/>
          </w:tcPr>
          <w:p>
            <w:pPr>
              <w:jc w:val="left"/>
            </w:pPr>
            <w:r/>
            <w:r>
              <w:rPr>
                <w:rFonts w:ascii="Calibri" w:hAnsi="Calibri"/>
                <w:color w:val="222222"/>
                <w:sz w:val="20"/>
              </w:rPr>
              <w:t>feedback</w:t>
            </w:r>
          </w:p>
        </w:tc>
        <w:tc>
          <w:tcPr>
            <w:tcW w:type="dxa" w:w="6360"/>
            <w:tcMar>
              <w:top w:w="90" w:type="dxa"/>
              <w:start w:w="120" w:type="dxa"/>
              <w:bottom w:w="90" w:type="dxa"/>
              <w:end w:w="120" w:type="dxa"/>
            </w:tcMar>
            <w:vAlign w:val="center"/>
          </w:tcPr>
          <w:p>
            <w:pPr>
              <w:jc w:val="left"/>
            </w:pPr>
            <w:r/>
            <w:r>
              <w:rPr>
                <w:rFonts w:ascii="Calibri" w:hAnsi="Calibri"/>
                <w:color w:val="222222"/>
                <w:sz w:val="20"/>
              </w:rPr>
              <w:t>User feedback storage.</w:t>
            </w:r>
          </w:p>
        </w:tc>
      </w:tr>
    </w:tbl>
    <w:p>
      <w:pPr>
        <w:spacing w:before="80" w:after="160"/>
      </w:pPr>
      <w:r>
        <w:rPr>
          <w:rFonts w:ascii="Calibri" w:hAnsi="Calibri"/>
          <w:i/>
          <w:color w:val="555555"/>
          <w:sz w:val="18"/>
        </w:rPr>
        <w:t>Source: Docs/report/tables/table_15_core_database_entities.md.</w:t>
      </w:r>
    </w:p>
    <w:p>
      <w:pPr>
        <w:pStyle w:val="Heading2"/>
      </w:pPr>
      <w:r>
        <w:t>6.2 AI and Graduate-Knowledge Database</w:t>
      </w:r>
    </w:p>
    <w:p>
      <w:pPr>
        <w:jc w:val="both"/>
      </w:pPr>
      <w:r>
        <w:rPr>
          <w:rFonts w:ascii="Calibri" w:hAnsi="Calibri"/>
          <w:color w:val="222222"/>
          <w:sz w:val="24"/>
        </w:rPr>
        <w:t>The AI/knowledge view supports structured academic information and retrieval. It includes university, faculty, department, degree type, language, graduate programme, tuition, admissions, documents, deadlines, financial aid, and sources. V23 and V24 define the canonical graduate schema, while V25–V55 seed university data.</w:t>
      </w:r>
    </w:p>
    <w:p>
      <w:pPr>
        <w:pStyle w:val="FigureCaption"/>
        <w:jc w:val="center"/>
      </w:pPr>
      <w:r>
        <w:rPr>
          <w:rFonts w:ascii="Calibri" w:hAnsi="Calibri"/>
          <w:i/>
          <w:color w:val="222222"/>
          <w:sz w:val="22"/>
        </w:rPr>
        <w:t>Table 6.2: AI and knowledge entities</w:t>
      </w:r>
    </w:p>
    <w:tbl>
      <w:tblPr>
        <w:tblStyle w:val="TableGrid"/>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D9EAF7"/>
            <w:tcMar>
              <w:top w:w="90" w:type="dxa"/>
              <w:start w:w="120" w:type="dxa"/>
              <w:bottom w:w="90" w:type="dxa"/>
              <w:end w:w="120" w:type="dxa"/>
            </w:tcMar>
            <w:vAlign w:val="center"/>
          </w:tcPr>
          <w:p>
            <w:pPr>
              <w:jc w:val="center"/>
            </w:pPr>
            <w:r/>
            <w:r>
              <w:rPr>
                <w:rFonts w:ascii="Calibri" w:hAnsi="Calibri"/>
                <w:b/>
                <w:color w:val="222222"/>
                <w:sz w:val="20"/>
              </w:rPr>
              <w:t>Entity family</w:t>
            </w:r>
          </w:p>
        </w:tc>
        <w:tc>
          <w:tcPr>
            <w:tcW w:type="dxa" w:w="5760"/>
            <w:shd w:fill="D9EAF7"/>
            <w:tcMar>
              <w:top w:w="90" w:type="dxa"/>
              <w:start w:w="120" w:type="dxa"/>
              <w:bottom w:w="90" w:type="dxa"/>
              <w:end w:w="120" w:type="dxa"/>
            </w:tcMar>
            <w:vAlign w:val="center"/>
          </w:tcPr>
          <w:p>
            <w:pPr>
              <w:jc w:val="center"/>
            </w:pPr>
            <w:r/>
            <w:r>
              <w:rPr>
                <w:rFonts w:ascii="Calibri" w:hAnsi="Calibri"/>
                <w:b/>
                <w:color w:val="222222"/>
                <w:sz w:val="20"/>
              </w:rPr>
              <w:t>Responsibility</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university; university_faculty; university_department</w:t>
            </w:r>
          </w:p>
        </w:tc>
        <w:tc>
          <w:tcPr>
            <w:tcW w:type="dxa" w:w="5760"/>
            <w:tcMar>
              <w:top w:w="90" w:type="dxa"/>
              <w:start w:w="120" w:type="dxa"/>
              <w:bottom w:w="90" w:type="dxa"/>
              <w:end w:w="120" w:type="dxa"/>
            </w:tcMar>
            <w:vAlign w:val="center"/>
          </w:tcPr>
          <w:p>
            <w:pPr>
              <w:jc w:val="left"/>
            </w:pPr>
            <w:r/>
            <w:r>
              <w:rPr>
                <w:rFonts w:ascii="Calibri" w:hAnsi="Calibri"/>
                <w:color w:val="222222"/>
                <w:sz w:val="20"/>
              </w:rPr>
              <w:t>Institutional and academic structure, including recorded location fields.</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graduate_program; aliases; tracks; relationships</w:t>
            </w:r>
          </w:p>
        </w:tc>
        <w:tc>
          <w:tcPr>
            <w:tcW w:type="dxa" w:w="5760"/>
            <w:tcMar>
              <w:top w:w="90" w:type="dxa"/>
              <w:start w:w="120" w:type="dxa"/>
              <w:bottom w:w="90" w:type="dxa"/>
              <w:end w:w="120" w:type="dxa"/>
            </w:tcMar>
            <w:vAlign w:val="center"/>
          </w:tcPr>
          <w:p>
            <w:pPr>
              <w:jc w:val="left"/>
            </w:pPr>
            <w:r/>
            <w:r>
              <w:rPr>
                <w:rFonts w:ascii="Calibri" w:hAnsi="Calibri"/>
                <w:color w:val="222222"/>
                <w:sz w:val="20"/>
              </w:rPr>
              <w:t>Graduate programme identity and related programme data.</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degree_type; language</w:t>
            </w:r>
          </w:p>
        </w:tc>
        <w:tc>
          <w:tcPr>
            <w:tcW w:type="dxa" w:w="5760"/>
            <w:tcMar>
              <w:top w:w="90" w:type="dxa"/>
              <w:start w:w="120" w:type="dxa"/>
              <w:bottom w:w="90" w:type="dxa"/>
              <w:end w:w="120" w:type="dxa"/>
            </w:tcMar>
            <w:vAlign w:val="center"/>
          </w:tcPr>
          <w:p>
            <w:pPr>
              <w:jc w:val="left"/>
            </w:pPr>
            <w:r/>
            <w:r>
              <w:rPr>
                <w:rFonts w:ascii="Calibri" w:hAnsi="Calibri"/>
                <w:color w:val="222222"/>
                <w:sz w:val="20"/>
              </w:rPr>
              <w:t>Typed programme dimensions.</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graduate_tuition_rate; graduate_fee_item</w:t>
            </w:r>
          </w:p>
        </w:tc>
        <w:tc>
          <w:tcPr>
            <w:tcW w:type="dxa" w:w="5760"/>
            <w:tcMar>
              <w:top w:w="90" w:type="dxa"/>
              <w:start w:w="120" w:type="dxa"/>
              <w:bottom w:w="90" w:type="dxa"/>
              <w:end w:w="120" w:type="dxa"/>
            </w:tcMar>
            <w:vAlign w:val="center"/>
          </w:tcPr>
          <w:p>
            <w:pPr>
              <w:jc w:val="left"/>
            </w:pPr>
            <w:r/>
            <w:r>
              <w:rPr>
                <w:rFonts w:ascii="Calibri" w:hAnsi="Calibri"/>
                <w:color w:val="222222"/>
                <w:sz w:val="20"/>
              </w:rPr>
              <w:t>Tuition and fee evidence.</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graduate_admission_requirement; documents; deadlines</w:t>
            </w:r>
          </w:p>
        </w:tc>
        <w:tc>
          <w:tcPr>
            <w:tcW w:type="dxa" w:w="5760"/>
            <w:tcMar>
              <w:top w:w="90" w:type="dxa"/>
              <w:start w:w="120" w:type="dxa"/>
              <w:bottom w:w="90" w:type="dxa"/>
              <w:end w:w="120" w:type="dxa"/>
            </w:tcMar>
            <w:vAlign w:val="center"/>
          </w:tcPr>
          <w:p>
            <w:pPr>
              <w:jc w:val="left"/>
            </w:pPr>
            <w:r/>
            <w:r>
              <w:rPr>
                <w:rFonts w:ascii="Calibri" w:hAnsi="Calibri"/>
                <w:color w:val="222222"/>
                <w:sz w:val="20"/>
              </w:rPr>
              <w:t>Admissions evidence.</w:t>
            </w:r>
          </w:p>
        </w:tc>
      </w:tr>
      <w:tr>
        <w:tc>
          <w:tcPr>
            <w:tcW w:type="dxa" w:w="3600"/>
            <w:tcMar>
              <w:top w:w="90" w:type="dxa"/>
              <w:start w:w="120" w:type="dxa"/>
              <w:bottom w:w="90" w:type="dxa"/>
              <w:end w:w="120" w:type="dxa"/>
            </w:tcMar>
            <w:vAlign w:val="center"/>
          </w:tcPr>
          <w:p>
            <w:pPr>
              <w:jc w:val="left"/>
            </w:pPr>
            <w:r/>
            <w:r>
              <w:rPr>
                <w:rFonts w:ascii="Calibri" w:hAnsi="Calibri"/>
                <w:color w:val="222222"/>
                <w:sz w:val="20"/>
              </w:rPr>
              <w:t>source; graduate_program_source</w:t>
            </w:r>
          </w:p>
        </w:tc>
        <w:tc>
          <w:tcPr>
            <w:tcW w:type="dxa" w:w="5760"/>
            <w:tcMar>
              <w:top w:w="90" w:type="dxa"/>
              <w:start w:w="120" w:type="dxa"/>
              <w:bottom w:w="90" w:type="dxa"/>
              <w:end w:w="120" w:type="dxa"/>
            </w:tcMar>
            <w:vAlign w:val="center"/>
          </w:tcPr>
          <w:p>
            <w:pPr>
              <w:jc w:val="left"/>
            </w:pPr>
            <w:r/>
            <w:r>
              <w:rPr>
                <w:rFonts w:ascii="Calibri" w:hAnsi="Calibri"/>
                <w:color w:val="222222"/>
                <w:sz w:val="20"/>
              </w:rPr>
              <w:t>Provenance and source links.</w:t>
            </w:r>
          </w:p>
        </w:tc>
      </w:tr>
    </w:tbl>
    <w:p>
      <w:pPr>
        <w:spacing w:before="80" w:after="160"/>
      </w:pPr>
      <w:r>
        <w:rPr>
          <w:rFonts w:ascii="Calibri" w:hAnsi="Calibri"/>
          <w:i/>
          <w:color w:val="555555"/>
          <w:sz w:val="18"/>
        </w:rPr>
        <w:t>Source: Docs/report/tables/table_16_ai_database_entities.md.</w:t>
      </w:r>
    </w:p>
    <w:p>
      <w:pPr>
        <w:pStyle w:val="Heading2"/>
      </w:pPr>
      <w:r>
        <w:t>6.3 Data Quality Observation</w:t>
      </w:r>
    </w:p>
    <w:p>
      <w:pPr>
        <w:jc w:val="both"/>
      </w:pPr>
      <w:r>
        <w:rPr>
          <w:rFonts w:ascii="Calibri" w:hAnsi="Calibri"/>
          <w:color w:val="222222"/>
          <w:sz w:val="24"/>
        </w:rPr>
        <w:t>Location retrieval depends on the structured city and campus fields available in the graduate `university` table. The investigation recorded that legacy and graduate seed sources can leave city values incomplete for campus rows. This is documented as a data/query limitation rather than an AI token-budget problem.</w:t>
      </w:r>
    </w:p>
    <w:p>
      <w:pPr>
        <w:pStyle w:val="FigureCaption"/>
      </w:pPr>
      <w:r>
        <w:t>Figure 6.1: Core Application Database ERD</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Logical ERD for identity, profiles, CVs, chats, messages, and feedback.</w:t>
            </w:r>
          </w:p>
          <w:p>
            <w:pPr>
              <w:jc w:val="left"/>
            </w:pPr>
            <w:r>
              <w:rPr>
                <w:rFonts w:ascii="Calibri" w:hAnsi="Calibri"/>
                <w:b/>
                <w:color w:val="444444"/>
                <w:sz w:val="20"/>
              </w:rPr>
              <w:t xml:space="preserve">Source: </w:t>
            </w:r>
            <w:r>
              <w:rPr>
                <w:rFonts w:ascii="Calibri" w:hAnsi="Calibri"/>
                <w:color w:val="444444"/>
                <w:sz w:val="20"/>
              </w:rPr>
              <w:t>Docs/report/diagrams/database/core_application_erd.puml</w:t>
            </w:r>
          </w:p>
        </w:tc>
      </w:tr>
    </w:tbl>
    <w:p/>
    <w:p>
      <w:pPr>
        <w:pStyle w:val="FigureCaption"/>
      </w:pPr>
      <w:r>
        <w:t>Figure 6.2: AI and Graduate-Knowledge Database ERD</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Logical ERD for universities, academic structure, programmes, tuition, admissions, and sources.</w:t>
            </w:r>
          </w:p>
          <w:p>
            <w:pPr>
              <w:jc w:val="left"/>
            </w:pPr>
            <w:r>
              <w:rPr>
                <w:rFonts w:ascii="Calibri" w:hAnsi="Calibri"/>
                <w:b/>
                <w:color w:val="444444"/>
                <w:sz w:val="20"/>
              </w:rPr>
              <w:t xml:space="preserve">Source: </w:t>
            </w:r>
            <w:r>
              <w:rPr>
                <w:rFonts w:ascii="Calibri" w:hAnsi="Calibri"/>
                <w:color w:val="444444"/>
                <w:sz w:val="20"/>
              </w:rPr>
              <w:t>Docs/report/diagrams/database/ai_knowledge_erd.puml</w:t>
            </w:r>
          </w:p>
        </w:tc>
      </w:tr>
    </w:tbl>
    <w:p/>
    <w:sectPr w:rsidR="00FC693F" w:rsidRPr="0006063C" w:rsidSect="00034616">
      <w:footerReference w:type="default" r:id="rId9"/>
      <w:headerReference w:type="default" r:id="rId10"/>
      <w:pgSz w:w="11909" w:h="16834"/>
      <w:pgMar w:top="994" w:right="1440" w:bottom="1440" w:left="1987"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t xml:space="preserve">uniAI Capstone Report | </w:t>
    </w:r>
    <w:r>
      <w:rPr>
        <w:rFonts w:ascii="Calibri" w:hAnsi="Calibri"/>
        <w:color w:val="222222"/>
        <w:sz w:val="20"/>
      </w:rPr>
      <w:fldChar w:fldCharType="begin"/>
      <w:instrText xml:space="preserve"> PAGE </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20"/>
      </w:rPr>
      <w:t>uniAI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60" w:after="80"/>
      <w:jc w:val="center"/>
    </w:pPr>
    <w:rPr>
      <w:rFonts w:ascii="Calibri" w:hAnsi="Calibri"/>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