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7. AI Architecture and Integration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AI workflow is implemented as an application orchestration pipeline rather than as a literal Spring interceptor. `ChatApplicationService` coordinates message persistence, interpretation, retrieval, budgeting, provider invocation, citations, response persistence, title generation, and memory update. The configured provider is selected in `ChatAiConfiguration`; provider credentials are external configuration and are not included in this report.</w:t>
      </w:r>
    </w:p>
    <w:p>
      <w:pPr>
        <w:pStyle w:val="Heading2"/>
      </w:pPr>
      <w:r>
        <w:t>7.1 End-to-End Request Flow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The frontend submits an authenticated message to the chat API.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The backend validates ownership, loads the chat, conversation history, university catalogue, and conversation memory.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ChatApplicationService interprets graduate relevance using the provider-backed interpreter when possible and a deterministic interpreter when necessary.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GraduateQueryInterpretationValidator normalizes and validates the typed query; GraduateFollowUpResolver handles safe inherited references or requests clarification.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GraduateKnowledgeRetrievalPort or GraduateLocationRetrievalPort retrieves structured evidence through infrastructure-owned parameterized SQL.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GraduateCitationEngine prepares available citations; AiContextBudgetManager and AiTokenEstimator assess prompt size and may reduce history or context.</w:t>
      </w:r>
    </w:p>
    <w:p>
      <w:pPr>
        <w:pStyle w:val="ListNumber"/>
        <w:spacing w:line="288" w:lineRule="auto" w:after="60"/>
      </w:pPr>
      <w:r>
        <w:rPr>
          <w:rFonts w:ascii="Calibri" w:hAnsi="Calibri"/>
          <w:color w:val="222222"/>
          <w:sz w:val="24"/>
        </w:rPr>
        <w:t>The selected provider adapter is called with the final prompt. The response, messages, metadata, and eligible memory updates are persisted before the result returns to the client.</w:t>
      </w:r>
    </w:p>
    <w:p>
      <w:pPr>
        <w:pStyle w:val="Heading2"/>
      </w:pPr>
      <w:r>
        <w:t>7.2 Pre-Processing Outcomes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7.1: AI pre-processing decisions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2200"/>
        <w:gridCol w:w="3050"/>
        <w:gridCol w:w="2160"/>
      </w:tblGrid>
      <w:tr>
        <w:trPr>
          <w:tblHeader w:val="true"/>
        </w:trPr>
        <w:tc>
          <w:tcPr>
            <w:tcW w:type="dxa" w:w="19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Component</w:t>
            </w:r>
          </w:p>
        </w:tc>
        <w:tc>
          <w:tcPr>
            <w:tcW w:type="dxa" w:w="22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Input</w:t>
            </w:r>
          </w:p>
        </w:tc>
        <w:tc>
          <w:tcPr>
            <w:tcW w:type="dxa" w:w="30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Possible outcome</w:t>
            </w:r>
          </w:p>
        </w:tc>
        <w:tc>
          <w:tcPr>
            <w:tcW w:type="dxa" w:w="21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Next step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Graduate query interpretation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Message, history, memory, catalogue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Valid typed query; ambiguous; unsupported; provider failure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Validate, clarify, or use deterministic fallback.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GraduateFollowUpResolver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Candidate query and conversational state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Safe resolved scope; unchanged query; clarification required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Retrieve only if scope is safe.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Retrieval adapters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Typed resource, operation, filters, sort, limit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Grounded context, no-result context, unavailable-data context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Budget and prompt construction.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AiContextBudgetManager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Prompt, history, retrieval context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Fits; trim history/context; reject budget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Provider call or safe message.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Provider adapter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Bounded request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Normalized response or provider-unavailable failure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Persist response or return safe error.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Docs/report/technical/11_ai_architecture.md and 13_graduate_retrieval.md.</w:t>
      </w:r>
    </w:p>
    <w:p>
      <w:pPr>
        <w:pStyle w:val="Heading2"/>
      </w:pPr>
      <w:r>
        <w:t>7.3 Typed Graduate Retrieval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`GraduateKnowledgeQuery` carries intent, resource, operation, filters, aggregation, sorting, limit, and follow-up context. The model supports university, campus, programme, faculty, department, and graduate-overview resources. Filters compose using strict AND semantics. Language and admission predicates are program-owned, and retrieval SQL is parameterized, bounded, and infrastructure-owned.</w:t>
      </w:r>
    </w:p>
    <w:p>
      <w:pPr>
        <w:pStyle w:val="Heading2"/>
      </w:pPr>
      <w:r>
        <w:t>7.4 Memory, Citations, and Safety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Conversation memory retains safe logical references rather than prompt-visible persistence identifiers. Follow-up resolution is conservative: unresolved pronouns, ordinals, or comparison targets require clarification instead of broadening a request. Citations are prepared where source data exists. Provider output quality remains an external dependency, so grounding and validation reduce rather than eliminate risk.</w:t>
      </w:r>
    </w:p>
    <w:p>
      <w:pPr>
        <w:pStyle w:val="FigureCaption"/>
      </w:pPr>
      <w:r>
        <w:t>Figure 7.1: AI Request Pipeline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DIAGRAM]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Message submission through ChatApplicationService, interpretation, retrieval, budgeting, provider call, persistence, and response.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Docs/report/diagrams/ai/ai_request_pipeline.puml</w:t>
            </w:r>
          </w:p>
        </w:tc>
      </w:tr>
    </w:tbl>
    <w:p/>
    <w:p>
      <w:pPr>
        <w:pStyle w:val="FigureCaption"/>
      </w:pPr>
      <w:r>
        <w:t>Figure 7.2: Graduate Query Interpretation and Retrieval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DIAGRAM]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Typed query interpretation, validation, follow-up resolution, SQL retrieval, citations, and safe outcomes.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Docs/report/diagrams/ai/graduate_retrieval_flow.puml</w:t>
            </w:r>
          </w:p>
        </w:tc>
      </w:tr>
    </w:tbl>
    <w:p/>
    <w:p>
      <w:pPr>
        <w:pStyle w:val="FigureCaption"/>
      </w:pPr>
      <w:r>
        <w:t>Figure 7.3: Chat Response with Graduate Programme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SCREENSHOT]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Chat page after a user asks for Master’s programmes in Computer Science in Beirut. Show the user message, grounded answer, citations, and chat sidebar using sanitized demo data.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Manual application screenshot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Route: </w:t>
            </w:r>
            <w:r>
              <w:rPr>
                <w:rFonts w:ascii="Calibri" w:hAnsi="Calibri"/>
                <w:color w:val="444444"/>
                <w:sz w:val="20"/>
              </w:rPr>
              <w:t>/chat/{chatId}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Capture notes: </w:t>
            </w:r>
            <w:r>
              <w:rPr>
                <w:rFonts w:ascii="Calibri" w:hAnsi="Calibri"/>
                <w:color w:val="444444"/>
                <w:sz w:val="20"/>
              </w:rPr>
              <w:t>Do not show real emails, tokens, or personal information.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