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System Implementation</w:t>
      </w:r>
    </w:p>
    <w:p>
      <w:pPr>
        <w:pStyle w:val="Heading2"/>
      </w:pPr>
      <w:r>
        <w:t>8.1 Authentication and User Management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Authentication is exposed through `AuthController` and application services. Spring Security uses JWT authentication in a stateless configuration, BCrypt password hashing, public access for `/api/auth/**`, and ADMIN role checks for administrative routes. Registration, verification-related persistence, login, and password recovery are documented as implemented; complete Google OAuth callback behaviour remains only partially confirmed.</w:t>
      </w:r>
    </w:p>
    <w:p>
      <w:pPr>
        <w:pStyle w:val="Heading2"/>
      </w:pPr>
      <w:r>
        <w:t>8.2 Chat and Graduate Information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`ChatController` exposes chat operations, while `ChatApplicationService` provides the central orchestration. Graduate retrieval is separated behind ports and SQL adapters. The implementation supports programme, tuition, admission, language, academic-structure, comparison, and location-oriented retrieval paths, subject to available data and supported query combinations.</w:t>
      </w:r>
    </w:p>
    <w:p>
      <w:pPr>
        <w:pStyle w:val="Heading2"/>
      </w:pPr>
      <w:r>
        <w:t>8.3 CV Builder and Profile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CV module persists profile and CV information through CV-related controllers, application services, entities, and migrations. It supports creation and editing of CV sections, preview-oriented workflows, and profile information required for a usable CV. Export/print behaviour should be described only where the deployment is directly verified.</w:t>
      </w:r>
    </w:p>
    <w:p>
      <w:pPr>
        <w:pStyle w:val="Heading2"/>
      </w:pPr>
      <w:r>
        <w:t>8.4 University Catalogue, Map, Feedback, and Administration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Catalog services expose university-facing data. The frontend includes `MapPage.tsx` for campus/location exploration. Feedback is submitted through a dedicated module, while admin endpoints provide role-protected user and feedback management. The map’s static coordinate data is documented as separate from the graduate catalogue, which is an implementation limitation.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8.1: API module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Module</w:t>
            </w:r>
          </w:p>
        </w:tc>
        <w:tc>
          <w:tcPr>
            <w:tcW w:type="dxa" w:w="43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Base path</w:t>
            </w:r>
          </w:p>
        </w:tc>
        <w:tc>
          <w:tcPr>
            <w:tcW w:type="dxa" w:w="25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Status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Authentication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/api/auth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Users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/api/users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Chats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/api/chats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CV and profile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/api/cv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Catalogue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/api/skills and related routes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Feedback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/api/feedback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Administration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/api/admin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Docs/report/tables/table_14_api_module_summary.md.</w:t>
      </w:r>
    </w:p>
    <w:p>
      <w:pPr>
        <w:pStyle w:val="FigureCaption"/>
      </w:pPr>
      <w:r>
        <w:t>Figure 8.1: CV Builder Editor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SCREENSHOT]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CV Builder page with editable sections and sanitized profile data.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Manual application screenshot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Route: </w:t>
            </w:r>
            <w:r>
              <w:rPr>
                <w:rFonts w:ascii="Calibri" w:hAnsi="Calibri"/>
                <w:color w:val="444444"/>
                <w:sz w:val="20"/>
              </w:rPr>
              <w:t>/cv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Capture notes: </w:t>
            </w:r>
            <w:r>
              <w:rPr>
                <w:rFonts w:ascii="Calibri" w:hAnsi="Calibri"/>
                <w:color w:val="444444"/>
                <w:sz w:val="20"/>
              </w:rPr>
              <w:t>Capture a stable editor state without real personal data.</w:t>
            </w:r>
          </w:p>
        </w:tc>
      </w:tr>
    </w:tbl>
    <w:p/>
    <w:p>
      <w:pPr>
        <w:pStyle w:val="FigureCaption"/>
      </w:pPr>
      <w:r>
        <w:t>Figure 8.2: University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SCREENSHOT]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Map page displaying confirmed university markers and navigation controls.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Manual application screenshot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Route: </w:t>
            </w:r>
            <w:r>
              <w:rPr>
                <w:rFonts w:ascii="Calibri" w:hAnsi="Calibri"/>
                <w:color w:val="444444"/>
                <w:sz w:val="20"/>
              </w:rPr>
              <w:t>/map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Capture notes: </w:t>
            </w:r>
            <w:r>
              <w:rPr>
                <w:rFonts w:ascii="Calibri" w:hAnsi="Calibri"/>
                <w:color w:val="444444"/>
                <w:sz w:val="20"/>
              </w:rPr>
              <w:t>Use a stable desktop viewport and no user-identifying data.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