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 Testing and Validation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The backend contains JUnit, Spring Boot Test, Mockito, H2, and Testcontainers-based tests. Graduate retrieval has focused coverage for interpretation, validation, follow-up resolution, citations, ranking, compression, memory, and adapter behaviour. Frontend build and lint scripts exist, but frontend automated test files were not confirmed.</w:t>
      </w:r>
    </w:p>
    <w:p>
      <w:pPr>
        <w:pStyle w:val="FigureCaption"/>
        <w:jc w:val="center"/>
      </w:pPr>
      <w:r>
        <w:rPr>
          <w:rFonts w:ascii="Calibri" w:hAnsi="Calibri"/>
          <w:i/>
          <w:color w:val="222222"/>
          <w:sz w:val="22"/>
        </w:rPr>
        <w:t>Table 10.1: Observed validation results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1900"/>
        <w:gridCol w:w="5460"/>
      </w:tblGrid>
      <w:tr>
        <w:trPr>
          <w:tblHeader w:val="true"/>
        </w:trPr>
        <w:tc>
          <w:tcPr>
            <w:tcW w:type="dxa" w:w="20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Command or area</w:t>
            </w:r>
          </w:p>
        </w:tc>
        <w:tc>
          <w:tcPr>
            <w:tcW w:type="dxa" w:w="19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Result</w:t>
            </w:r>
          </w:p>
        </w:tc>
        <w:tc>
          <w:tcPr>
            <w:tcW w:type="dxa" w:w="54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Evidence and limitation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Server compile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Passed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`./mvnw -q -DskipTests compile` completed.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Server full test suite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Environment-limited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255 tests reported; 0 assertion failures; 25 errors caused by Testcontainers/Docker and Mockito attach constraints.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Focused graduate unit suite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Passed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Prior focused validation passed for interpretation, resolver, memory, retrieval, and chat classes.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Client production build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Passed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Vite build completed with a large-chunk warning.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Client lint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Failed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Existing source reported 66 errors and 25 warnings.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docker compose config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Passed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Configuration rendered successfully.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555555"/>
          <w:sz w:val="18"/>
        </w:rPr>
        <w:t>Source: Docs/report/testing/automated_test_results.md, verified 18 July 2026.</w:t>
      </w:r>
    </w:p>
    <w:p>
      <w:pPr>
        <w:pStyle w:val="Heading2"/>
      </w:pPr>
      <w:r>
        <w:t>10.1 Test Gaps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Docker-dependent integration tests require a Docker-enabled environment. The test suite should add seeded-data regression cases for location retrieval, including exact city values, campus representations, aliases, and safe resolution of city-only queries. Frontend unit and end-to-end tests remain an important gap.</w:t>
      </w:r>
    </w:p>
    <w:p>
      <w:pPr>
        <w:pStyle w:val="FigureCaption"/>
      </w:pPr>
      <w:r>
        <w:t>Figure 10.1: Chat Message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6666"/>
                <w:sz w:val="24"/>
              </w:rPr>
              <w:t>[PLACEHOLDER FOR DIAGRAM]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Expected image: </w:t>
            </w:r>
            <w:r>
              <w:rPr>
                <w:rFonts w:ascii="Calibri" w:hAnsi="Calibri"/>
                <w:color w:val="444444"/>
                <w:sz w:val="20"/>
              </w:rPr>
              <w:t>Authentication, chat persistence, interpretation, retrieval, provider request, response persistence, and frontend rendering sequence.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Source: </w:t>
            </w:r>
            <w:r>
              <w:rPr>
                <w:rFonts w:ascii="Calibri" w:hAnsi="Calibri"/>
                <w:color w:val="444444"/>
                <w:sz w:val="20"/>
              </w:rPr>
              <w:t>Docs/report/diagrams/sequences/chat_message_sequence.puml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9" w:h="16834"/>
      <w:pgMar w:top="994" w:right="1440" w:bottom="1440" w:left="1987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uniAI Capstone Report | </w:t>
    </w:r>
    <w:r>
      <w:rPr>
        <w:rFonts w:ascii="Calibri" w:hAnsi="Calibri"/>
        <w:color w:val="222222"/>
        <w:sz w:val="20"/>
      </w:rPr>
      <w:fldChar w:fldCharType="begin"/>
      <w:instrText xml:space="preserve"> PAGE </w:instrText>
      <w:fldChar w:fldCharType="separate"/>
      <w:t>Update field in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20"/>
      </w:rPr>
      <w:t>uniAI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60" w:after="80"/>
      <w:jc w:val="center"/>
    </w:pPr>
    <w:rPr>
      <w:rFonts w:ascii="Calibri" w:hAnsi="Calibri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