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Results and Discussion</w:t>
      </w:r>
    </w:p>
    <w:p>
      <w:pPr>
        <w:jc w:val="both"/>
      </w:pPr>
      <w:r>
        <w:rPr>
          <w:rFonts w:ascii="Calibri" w:hAnsi="Calibri"/>
          <w:color w:val="222222"/>
          <w:sz w:val="24"/>
        </w:rPr>
        <w:t>The implemented system demonstrates an integrated approach to graduate guidance. The principal outcome is not a claim of universal data completeness; it is the delivery of a working architecture that combines student-facing modules with a structured graduate knowledge model and a cautious AI orchestration pipeline.</w:t>
      </w:r>
    </w:p>
    <w:p>
      <w:pPr>
        <w:pStyle w:val="Heading2"/>
      </w:pPr>
      <w:r>
        <w:t>12.1 Confirmed Outcomes</w:t>
      </w:r>
    </w:p>
    <w:p>
      <w:pPr>
        <w:pStyle w:val="ListBullet"/>
        <w:spacing w:line="288" w:lineRule="auto" w:after="60"/>
      </w:pPr>
      <w:r>
        <w:rPr>
          <w:rFonts w:ascii="Calibri" w:hAnsi="Calibri"/>
          <w:color w:val="222222"/>
          <w:sz w:val="24"/>
        </w:rPr>
        <w:t>Authenticated users can access profile, CV, chat, catalogue, map, and feedback functions.</w:t>
      </w:r>
    </w:p>
    <w:p>
      <w:pPr>
        <w:pStyle w:val="ListBullet"/>
        <w:spacing w:line="288" w:lineRule="auto" w:after="60"/>
      </w:pPr>
      <w:r>
        <w:rPr>
          <w:rFonts w:ascii="Calibri" w:hAnsi="Calibri"/>
          <w:color w:val="222222"/>
          <w:sz w:val="24"/>
        </w:rPr>
        <w:t>Graduate retrieval has typed query structures, validation, safe follow-up handling, parameterized SQL, bounded limits, and citation-related support.</w:t>
      </w:r>
    </w:p>
    <w:p>
      <w:pPr>
        <w:pStyle w:val="ListBullet"/>
        <w:spacing w:line="288" w:lineRule="auto" w:after="60"/>
      </w:pPr>
      <w:r>
        <w:rPr>
          <w:rFonts w:ascii="Calibri" w:hAnsi="Calibri"/>
          <w:color w:val="222222"/>
          <w:sz w:val="24"/>
        </w:rPr>
        <w:t>The AI provider integration is configurable and separates provider adapters from chat orchestration.</w:t>
      </w:r>
    </w:p>
    <w:p>
      <w:pPr>
        <w:pStyle w:val="ListBullet"/>
        <w:spacing w:line="288" w:lineRule="auto" w:after="60"/>
      </w:pPr>
      <w:r>
        <w:rPr>
          <w:rFonts w:ascii="Calibri" w:hAnsi="Calibri"/>
          <w:color w:val="222222"/>
          <w:sz w:val="24"/>
        </w:rPr>
        <w:t>Docker Compose provides a repeatable local service composition.</w:t>
      </w:r>
    </w:p>
    <w:p>
      <w:pPr>
        <w:pStyle w:val="ListBullet"/>
        <w:spacing w:line="288" w:lineRule="auto" w:after="60"/>
      </w:pPr>
      <w:r>
        <w:rPr>
          <w:rFonts w:ascii="Calibri" w:hAnsi="Calibri"/>
          <w:color w:val="222222"/>
          <w:sz w:val="24"/>
        </w:rPr>
        <w:t>The database migrations provide traceable schema and graduate-data evolution.</w:t>
      </w:r>
    </w:p>
    <w:p>
      <w:pPr>
        <w:pStyle w:val="Heading2"/>
      </w:pPr>
      <w:r>
        <w:t>12.2 Discussion of Retrieval Quality</w:t>
      </w:r>
    </w:p>
    <w:p>
      <w:pPr>
        <w:jc w:val="both"/>
      </w:pPr>
      <w:r>
        <w:rPr>
          <w:rFonts w:ascii="Calibri" w:hAnsi="Calibri"/>
          <w:color w:val="222222"/>
          <w:sz w:val="24"/>
        </w:rPr>
        <w:t>Retrieval correctness depends on both query logic and the completeness of structured data. The Beirut investigation demonstrated that a short context can be correct as a diagnostic artifact while still revealing an empty SQL scope. The relevant improvement is not simply to increase context tokens; it is to repair authoritative location data, keep city filters strict, avoid accidental university matching from city words, and log retrieval rows and result categories.</w:t>
      </w:r>
    </w:p>
    <w:p>
      <w:pPr>
        <w:pStyle w:val="Heading2"/>
      </w:pPr>
      <w:r>
        <w:t>12.3 User Interface Evidence</w:t>
      </w:r>
    </w:p>
    <w:p>
      <w:pPr>
        <w:jc w:val="both"/>
      </w:pPr>
      <w:r>
        <w:rPr>
          <w:rFonts w:ascii="Calibri" w:hAnsi="Calibri"/>
          <w:color w:val="222222"/>
          <w:sz w:val="24"/>
        </w:rPr>
        <w:t>No artificial screenshots are embedded in this report. The placeholders identify the exact routes, states, and sanitization requirements for later capture. This keeps the report honest about visual evidence while allowing the document to be completed without restructuring.</w:t>
      </w:r>
    </w:p>
    <w:p>
      <w:pPr>
        <w:pStyle w:val="FigureCaption"/>
      </w:pPr>
      <w:r>
        <w:t>Figure 12.1: Chat History and Follow-up Query</w:t>
      </w:r>
    </w:p>
    <w:tbl>
      <w:tblPr>
        <w:tblStyle w:val="TableGrid"/>
        <w:tblW w:type="dxa" w:w="9360"/>
        <w:tblLayout w:type="fixed"/>
        <w:tblLook w:firstColumn="1" w:firstRow="1" w:lastColumn="0" w:lastRow="0" w:noHBand="0" w:noVBand="1" w:val="04A0"/>
      </w:tblPr>
      <w:tblGrid>
        <w:gridCol w:w="9360"/>
      </w:tblGrid>
      <w:tr>
        <w:tc>
          <w:tcPr>
            <w:tcW w:type="dxa" w:w="9360"/>
            <w:shd w:fill="FAFAFA"/>
            <w:tcMar>
              <w:top w:w="180" w:type="dxa"/>
              <w:start w:w="180" w:type="dxa"/>
              <w:bottom w:w="180" w:type="dxa"/>
              <w:end w:w="180" w:type="dxa"/>
            </w:tcMar>
          </w:tcPr>
          <w:p>
            <w:pPr>
              <w:jc w:val="center"/>
            </w:pPr>
            <w:r/>
            <w:r>
              <w:rPr>
                <w:rFonts w:ascii="Calibri" w:hAnsi="Calibri"/>
                <w:b/>
                <w:color w:val="666666"/>
                <w:sz w:val="24"/>
              </w:rPr>
              <w:t>[PLACEHOLDER FOR SCREENSHOT]</w:t>
            </w:r>
          </w:p>
          <w:p>
            <w:pPr>
              <w:jc w:val="left"/>
            </w:pPr>
            <w:r>
              <w:rPr>
                <w:rFonts w:ascii="Calibri" w:hAnsi="Calibri"/>
                <w:b/>
                <w:color w:val="444444"/>
                <w:sz w:val="20"/>
              </w:rPr>
              <w:t xml:space="preserve">Expected image: </w:t>
            </w:r>
            <w:r>
              <w:rPr>
                <w:rFonts w:ascii="Calibri" w:hAnsi="Calibri"/>
                <w:color w:val="444444"/>
                <w:sz w:val="20"/>
              </w:rPr>
              <w:t>Chat page showing prior context and a safe follow-up graduate query, with citations where present.</w:t>
            </w:r>
          </w:p>
          <w:p>
            <w:pPr>
              <w:jc w:val="left"/>
            </w:pPr>
            <w:r>
              <w:rPr>
                <w:rFonts w:ascii="Calibri" w:hAnsi="Calibri"/>
                <w:b/>
                <w:color w:val="444444"/>
                <w:sz w:val="20"/>
              </w:rPr>
              <w:t xml:space="preserve">Source: </w:t>
            </w:r>
            <w:r>
              <w:rPr>
                <w:rFonts w:ascii="Calibri" w:hAnsi="Calibri"/>
                <w:color w:val="444444"/>
                <w:sz w:val="20"/>
              </w:rPr>
              <w:t>Manual application screenshot</w:t>
            </w:r>
          </w:p>
          <w:p>
            <w:pPr>
              <w:jc w:val="left"/>
            </w:pPr>
            <w:r>
              <w:rPr>
                <w:rFonts w:ascii="Calibri" w:hAnsi="Calibri"/>
                <w:b/>
                <w:color w:val="444444"/>
                <w:sz w:val="20"/>
              </w:rPr>
              <w:t xml:space="preserve">Route: </w:t>
            </w:r>
            <w:r>
              <w:rPr>
                <w:rFonts w:ascii="Calibri" w:hAnsi="Calibri"/>
                <w:color w:val="444444"/>
                <w:sz w:val="20"/>
              </w:rPr>
              <w:t>/chat/{chatId}</w:t>
            </w:r>
          </w:p>
          <w:p>
            <w:pPr>
              <w:jc w:val="left"/>
            </w:pPr>
            <w:r>
              <w:rPr>
                <w:rFonts w:ascii="Calibri" w:hAnsi="Calibri"/>
                <w:b/>
                <w:color w:val="444444"/>
                <w:sz w:val="20"/>
              </w:rPr>
              <w:t xml:space="preserve">Capture notes: </w:t>
            </w:r>
            <w:r>
              <w:rPr>
                <w:rFonts w:ascii="Calibri" w:hAnsi="Calibri"/>
                <w:color w:val="444444"/>
                <w:sz w:val="20"/>
              </w:rPr>
              <w:t>Use a seeded demo account and sanitize all personal data.</w:t>
            </w:r>
          </w:p>
        </w:tc>
      </w:tr>
    </w:tbl>
    <w:p/>
    <w:sectPr w:rsidR="00FC693F" w:rsidRPr="0006063C" w:rsidSect="00034616">
      <w:footerReference w:type="default" r:id="rId9"/>
      <w:headerReference w:type="default" r:id="rId10"/>
      <w:pgSz w:w="11909" w:h="16834"/>
      <w:pgMar w:top="994" w:right="1440" w:bottom="1440" w:left="1987" w:header="432"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20"/>
      </w:rPr>
      <w:t xml:space="preserve">uniAI Capstone Report | </w:t>
    </w:r>
    <w:r>
      <w:rPr>
        <w:rFonts w:ascii="Calibri" w:hAnsi="Calibri"/>
        <w:color w:val="222222"/>
        <w:sz w:val="20"/>
      </w:rPr>
      <w:fldChar w:fldCharType="begin"/>
      <w:instrText xml:space="preserve"> PAGE </w:instrText>
      <w:fldChar w:fldCharType="separate"/>
      <w:t>Update field in Word</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6666"/>
        <w:sz w:val="20"/>
      </w:rPr>
      <w:t>uniAI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160" w:after="80"/>
      <w:jc w:val="center"/>
    </w:pPr>
    <w:rPr>
      <w:rFonts w:ascii="Calibri" w:hAnsi="Calibri"/>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