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14. Conclusion</w:t>
      </w:r>
    </w:p>
    <w:p>
      <w:pPr>
        <w:jc w:val="both"/>
      </w:pPr>
      <w:r>
        <w:rPr>
          <w:rFonts w:ascii="Calibri" w:hAnsi="Calibri"/>
          <w:color w:val="222222"/>
          <w:sz w:val="24"/>
        </w:rPr>
        <w:t>uniAI was developed to reduce the information gap faced by students considering graduate education. It brings together university exploration, structured graduate-programme evidence, AI-assisted conversation, memory-aware follow-up handling, CV preparation, feedback, and administration in one platform. The technical design uses React and TypeScript in the client; Spring Boot, Java, and Spring Security in the backend; PostgreSQL and Flyway for persistence; and Docker Compose for environment consistency.</w:t>
      </w:r>
    </w:p>
    <w:p>
      <w:pPr>
        <w:jc w:val="both"/>
      </w:pPr>
      <w:r>
        <w:rPr>
          <w:rFonts w:ascii="Calibri" w:hAnsi="Calibri"/>
          <w:color w:val="222222"/>
          <w:sz w:val="24"/>
        </w:rPr>
        <w:t>The project’s principal engineering contribution is the combination of structured retrieval with cautious AI orchestration. Typed query models, validation, safe follow-up resolution, parameterized infrastructure-owned SQL, citations, memory controls, and context budgets provide a more traceable basis for AI assistance than unconstrained prompting alone. The work also identifies concrete limitations, including location-data quality, provider dependency, frontend test coverage, and production hardening. These limitations define a realistic roadmap for further development rather than diminishing the confirmed implementation.</w:t>
      </w:r>
    </w:p>
    <w:sectPr w:rsidR="00FC693F" w:rsidRPr="0006063C" w:rsidSect="00034616">
      <w:footerReference w:type="default" r:id="rId9"/>
      <w:headerReference w:type="default" r:id="rId10"/>
      <w:pgSz w:w="11909" w:h="16834"/>
      <w:pgMar w:top="994" w:right="1440" w:bottom="1440" w:left="1987" w:header="432" w:footer="64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20"/>
      </w:rPr>
      <w:t xml:space="preserve">uniAI Capstone Report | </w:t>
    </w:r>
    <w:r>
      <w:rPr>
        <w:rFonts w:ascii="Calibri" w:hAnsi="Calibri"/>
        <w:color w:val="222222"/>
        <w:sz w:val="20"/>
      </w:rPr>
      <w:fldChar w:fldCharType="begin"/>
      <w:instrText xml:space="preserve"> PAGE </w:instrText>
      <w:fldChar w:fldCharType="separate"/>
      <w:t>Update field in Word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6666"/>
        <w:sz w:val="20"/>
      </w:rPr>
      <w:t>uniAI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160" w:after="80"/>
      <w:jc w:val="center"/>
    </w:pPr>
    <w:rPr>
      <w:rFonts w:ascii="Calibri" w:hAnsi="Calibri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