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CBDC6" w14:textId="216BD1D8" w:rsidR="009541F7" w:rsidRPr="009D0BFB" w:rsidRDefault="009D0BFB" w:rsidP="009D0BFB">
      <w:pPr>
        <w:pStyle w:val="1"/>
        <w:ind w:right="-432"/>
        <w:jc w:val="center"/>
        <w:rPr>
          <w:rFonts w:ascii="Times New Roman" w:hAnsi="Times New Roman" w:cs="Times New Roman"/>
          <w:color w:val="auto"/>
          <w:lang w:val="ru-RU"/>
        </w:rPr>
      </w:pPr>
      <w:r w:rsidRPr="009D0BFB">
        <w:rPr>
          <w:rFonts w:ascii="Times New Roman" w:hAnsi="Times New Roman" w:cs="Times New Roman"/>
          <w:color w:val="auto"/>
          <w:lang w:val="ru-RU"/>
        </w:rPr>
        <w:t>Кредит брокерлерінің қауымдастығына мүшелік артықшылықтары</w:t>
      </w:r>
      <w:r w:rsidRPr="009D0BFB">
        <w:rPr>
          <w:rFonts w:ascii="Times New Roman" w:hAnsi="Times New Roman" w:cs="Times New Roman"/>
          <w:color w:val="auto"/>
          <w:lang w:val="ru-RU"/>
        </w:rPr>
        <w:br/>
        <w:t>Преимущества вступления в Ассоциацию кредитных брокеров</w:t>
      </w:r>
    </w:p>
    <w:p w14:paraId="49792BEC" w14:textId="71101B53" w:rsidR="009541F7" w:rsidRPr="009D0BFB" w:rsidRDefault="009D0BFB" w:rsidP="009D0BFB">
      <w:pPr>
        <w:pStyle w:val="21"/>
        <w:ind w:right="-43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color w:val="auto"/>
          <w:sz w:val="28"/>
          <w:szCs w:val="28"/>
          <w:lang w:val="ru-RU"/>
        </w:rPr>
        <w:t>Мүшелік не береді / Что дает членство</w:t>
      </w:r>
    </w:p>
    <w:p w14:paraId="4896D227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АКБ мүшесі ретінде ресми статус / Официальный статус члена АКБ</w:t>
      </w:r>
    </w:p>
    <w:p w14:paraId="5D08FEB4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Клиенттер мен банктердің сенімінің артуы / Рост доверия клиентов и банков</w:t>
      </w:r>
    </w:p>
    <w:p w14:paraId="3D2025BE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Сертификат және ресми тізілімге енгізілу / Сертификат и включение в реестр</w:t>
      </w:r>
    </w:p>
    <w:p w14:paraId="1554C883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Кәсібилікті растау / Подтверждение профессионализма</w:t>
      </w:r>
    </w:p>
    <w:p w14:paraId="709CFEF0" w14:textId="073EE6D0" w:rsidR="009541F7" w:rsidRPr="009D0BFB" w:rsidRDefault="009D0BFB" w:rsidP="009D0BFB">
      <w:pPr>
        <w:pStyle w:val="21"/>
        <w:ind w:right="-43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color w:val="auto"/>
          <w:sz w:val="28"/>
          <w:szCs w:val="28"/>
          <w:lang w:val="ru-RU"/>
        </w:rPr>
        <w:t>Бәсекелестік артықшылықтар / Конкурентные преимущества</w:t>
      </w:r>
    </w:p>
    <w:p w14:paraId="51ED239D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Нарықта ерекше болу / Выделение на рынке</w:t>
      </w:r>
    </w:p>
    <w:p w14:paraId="117C2391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Беделдің артуы / Повышение репутации</w:t>
      </w:r>
    </w:p>
    <w:p w14:paraId="626D29DF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Лид‑генерацияға қол жеткізу / Доступ к лид‑генерации</w:t>
      </w:r>
    </w:p>
    <w:p w14:paraId="10EC32B2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Өтінімдерде басымдық / Приоритет в заявках</w:t>
      </w:r>
    </w:p>
    <w:p w14:paraId="5061929B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Бәсекелестер арасында мақсатты ілгерілету / Таргетированное продвижение среди конкурентов</w:t>
      </w:r>
    </w:p>
    <w:p w14:paraId="4A422A23" w14:textId="3529A2C0" w:rsidR="009541F7" w:rsidRPr="009D0BFB" w:rsidRDefault="009D0BFB" w:rsidP="009D0BFB">
      <w:pPr>
        <w:pStyle w:val="21"/>
        <w:ind w:right="-43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color w:val="auto"/>
          <w:sz w:val="28"/>
          <w:szCs w:val="28"/>
          <w:lang w:val="ru-RU"/>
        </w:rPr>
        <w:t>Кәсіби даму / Профессиональное развитие</w:t>
      </w:r>
    </w:p>
    <w:p w14:paraId="675754C8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Оқыту және емтихан / Обучение и экзамены</w:t>
      </w:r>
    </w:p>
    <w:p w14:paraId="1C5C7538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Сертификация / Сертификация</w:t>
      </w:r>
    </w:p>
    <w:p w14:paraId="2209A2C9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Форумдар, кездесулер, нетворкинг / Форумы, встречи, нетворкинг</w:t>
      </w:r>
    </w:p>
    <w:p w14:paraId="66B6D0C2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Тәжірибе алмасу / Обмен опытом</w:t>
      </w:r>
    </w:p>
    <w:p w14:paraId="0E739738" w14:textId="7B12F678" w:rsidR="009541F7" w:rsidRPr="009D0BFB" w:rsidRDefault="009D0BFB" w:rsidP="009D0BFB">
      <w:pPr>
        <w:pStyle w:val="21"/>
        <w:ind w:right="-43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color w:val="auto"/>
          <w:sz w:val="28"/>
          <w:szCs w:val="28"/>
          <w:lang w:val="ru-RU"/>
        </w:rPr>
        <w:t>Технологиялық артықшылықтар / Технологические возможности</w:t>
      </w:r>
    </w:p>
    <w:p w14:paraId="037CF2AC" w14:textId="01CDD678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Цифрлық платформаға қол жеткізу / Доступ к цифровой платформе</w:t>
      </w:r>
    </w:p>
    <w:p w14:paraId="6B767438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Банктермен ресми өзара әрекет / Официальное взаимодействие с банками</w:t>
      </w:r>
    </w:p>
    <w:p w14:paraId="3A5569FA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Процестерді автоматтандыру / Автоматизация процессов</w:t>
      </w:r>
    </w:p>
    <w:p w14:paraId="79CF695E" w14:textId="3A15DA18" w:rsidR="009541F7" w:rsidRPr="009D0BFB" w:rsidRDefault="009D0BFB" w:rsidP="009D0BFB">
      <w:pPr>
        <w:pStyle w:val="21"/>
        <w:ind w:right="-43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color w:val="auto"/>
          <w:sz w:val="28"/>
          <w:szCs w:val="28"/>
          <w:lang w:val="ru-RU"/>
        </w:rPr>
        <w:t>Құқықтық қолдау / Юридическая поддержка</w:t>
      </w:r>
    </w:p>
    <w:p w14:paraId="250A3B47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Әдістемелік материалдар / Методические материалы</w:t>
      </w:r>
    </w:p>
    <w:p w14:paraId="1490DDA6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lastRenderedPageBreak/>
        <w:t>• Құқықтық кеңес / Юридическая консультация</w:t>
      </w:r>
    </w:p>
    <w:p w14:paraId="1493EE64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9D0BFB">
        <w:rPr>
          <w:rFonts w:ascii="Times New Roman" w:hAnsi="Times New Roman" w:cs="Times New Roman"/>
          <w:sz w:val="28"/>
          <w:szCs w:val="28"/>
        </w:rPr>
        <w:t>PR</w:t>
      </w:r>
      <w:r w:rsidRPr="009D0BFB">
        <w:rPr>
          <w:rFonts w:ascii="Times New Roman" w:hAnsi="Times New Roman" w:cs="Times New Roman"/>
          <w:sz w:val="28"/>
          <w:szCs w:val="28"/>
          <w:lang w:val="ru-RU"/>
        </w:rPr>
        <w:t xml:space="preserve"> қолдау / </w:t>
      </w:r>
      <w:r w:rsidRPr="009D0BFB">
        <w:rPr>
          <w:rFonts w:ascii="Times New Roman" w:hAnsi="Times New Roman" w:cs="Times New Roman"/>
          <w:sz w:val="28"/>
          <w:szCs w:val="28"/>
        </w:rPr>
        <w:t>PR</w:t>
      </w:r>
      <w:r w:rsidRPr="009D0BFB">
        <w:rPr>
          <w:rFonts w:ascii="Times New Roman" w:hAnsi="Times New Roman" w:cs="Times New Roman"/>
          <w:sz w:val="28"/>
          <w:szCs w:val="28"/>
          <w:lang w:val="ru-RU"/>
        </w:rPr>
        <w:t>‑поддержка</w:t>
      </w:r>
    </w:p>
    <w:p w14:paraId="0A2D37F1" w14:textId="77777777" w:rsidR="009541F7" w:rsidRPr="009D0BFB" w:rsidRDefault="009D0BFB" w:rsidP="009D0BFB">
      <w:pPr>
        <w:ind w:right="-432"/>
        <w:rPr>
          <w:rFonts w:ascii="Times New Roman" w:hAnsi="Times New Roman" w:cs="Times New Roman"/>
          <w:sz w:val="28"/>
          <w:szCs w:val="28"/>
          <w:lang w:val="ru-RU"/>
        </w:rPr>
      </w:pPr>
      <w:r w:rsidRPr="009D0BFB">
        <w:rPr>
          <w:rFonts w:ascii="Times New Roman" w:hAnsi="Times New Roman" w:cs="Times New Roman"/>
          <w:sz w:val="28"/>
          <w:szCs w:val="28"/>
          <w:lang w:val="ru-RU"/>
        </w:rPr>
        <w:t>• Қатысушыларды медиада ілгерілету / Продвижение участников в медиа</w:t>
      </w:r>
    </w:p>
    <w:sectPr w:rsidR="009541F7" w:rsidRPr="009D0BFB" w:rsidSect="003F4A3E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A3E"/>
    <w:rsid w:val="009541F7"/>
    <w:rsid w:val="009D0B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1F5948"/>
  <w14:defaultImageDpi w14:val="300"/>
  <w15:docId w15:val="{AE4BAA52-DE0F-48A3-A409-281C57130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2025-11-08T15:43:00Z</dcterms:modified>
  <cp:category/>
</cp:coreProperties>
</file>