
<file path=[Content_Types].xml><?xml version="1.0" encoding="utf-8"?>
<Types xmlns="http://schemas.openxmlformats.org/package/2006/content-types">
  <Default Extension="xml" ContentType="application/vnd.openxmlformats-officedocument.wordprocessingml.document.main+xml"/>
  <Default Extension="png" ContentType="image/png"/>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Types>
</file>

<file path=_rels/.rels>&#65279;<?xml version="1.0" encoding="utf-8"?><Relationships xmlns="http://schemas.openxmlformats.org/package/2006/relationships"><Relationship Type="http://schemas.openxmlformats.org/officeDocument/2006/relationships/officeDocument" Target="/word/document.xml" Id="Re77306e451e74f85"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CoverBackground"/>
            <wp:cNvGraphicFramePr>
              <a:graphicFrameLocks noChangeAspect="1"/>
            </wp:cNvGraphicFramePr>
            <a:graphic>
              <a:graphicData uri="http://schemas.openxmlformats.org/drawingml/2006/picture">
                <pic:pic>
                  <pic:nvPicPr>
                    <pic:cNvPr id="0" name="CoverBackground.png"/>
                    <pic:cNvPicPr/>
                  </pic:nvPicPr>
                  <pic:blipFill>
                    <a:blip r:embed="Rb0792e3ee8a64515"/>
                    <a:stretch>
                      <a:fillRect/>
                    </a:stretch>
                  </pic:blipFill>
                  <pic:spPr>
                    <a:xfrm>
                      <a:off x="0" y="0"/>
                      <a:ext cx="7560000" cy="10692000"/>
                    </a:xfrm>
                    <a:prstGeom prst="rect"/>
                  </pic:spPr>
                </pic:pic>
              </a:graphicData>
            </a:graphic>
          </wp:anchor>
        </w:drawing>
      </w:r>
    </w:p>
    <w:p>
      <w:pPr>
        <w:spacing w:before="5000"/>
      </w:pPr>
      <w:r/>
    </w:p>
    <w:p>
      <w:pPr>
        <w:spacing w:after="200"/>
        <w:ind w:left="1200" w:right="1200"/>
        <w:jc w:val="left"/>
      </w:pPr>
      <w:r>
        <w:rPr>
          <w:b/>
          <w:color w:val="FFFFFF"/>
          <w:sz w:val="80"/>
        </w:rPr>
        <w:t>Global AI Olympiad</w:t>
      </w:r>
    </w:p>
    <w:p>
      <w:pPr>
        <w:spacing w:after="600"/>
        <w:ind w:left="1200" w:right="1200"/>
        <w:jc w:val="left"/>
      </w:pPr>
      <w:r>
        <w:rPr>
          <w:color w:val="63b3ed"/>
          <w:sz w:val="56"/>
        </w:rPr>
        <w:t>(GAIO)</w:t>
      </w:r>
    </w:p>
    <w:p>
      <w:pPr>
        <w:spacing w:after="3000"/>
        <w:ind w:left="1200" w:right="1200"/>
        <w:jc w:val="left"/>
      </w:pPr>
      <w:r>
        <w:rPr>
          <w:color w:val="a0aec0"/>
          <w:spacing w:val="30"/>
          <w:sz w:val="28"/>
        </w:rPr>
        <w:t>Investor Profile &amp; Strategic Opportunity Report</w:t>
      </w:r>
    </w:p>
    <w:p>
      <w:pPr>
        <w:spacing w:after="120"/>
        <w:ind w:left="1200"/>
        <w:jc w:val="left"/>
      </w:pPr>
      <w:r>
        <w:rPr>
          <w:b/>
          <w:color w:val="63b3ed"/>
          <w:sz w:val="24"/>
        </w:rPr>
        <w:t>Revised Budget: GBP 350,000</w:t>
      </w:r>
    </w:p>
    <w:p>
      <w:pPr>
        <w:ind w:left="1200"/>
        <w:jc w:val="left"/>
      </w:pPr>
      <w:r>
        <w:rPr>
          <w:color w:val="718096"/>
          <w:sz w:val="20"/>
        </w:rPr>
        <w:t>February 2026</w:t>
      </w:r>
    </w:p>
    <w:p>
      <w:pPr>
        <w:sectPr>
          <w:type w:val="nextPage"/>
          <w:pgSz w:w="11906" w:h="16838"/>
          <w:pgMar w:top="0" w:right="0" w:bottom="0" w:left="0" w:header="0" w:footer="0"/>
        </w:sectPr>
      </w:pPr>
    </w:p>
    <w:p>
      <w:pPr>
        <w:pStyle w:val="Heading1"/>
      </w:pPr>
      <w:bookmarkStart w:name="_Toc000" w:id="0"/>
      <w:r>
        <w:t>Table of Contents</w:t>
      </w:r>
      <w:bookmarkEnd w:id="0"/>
    </w:p>
    <w:p>
      <w:pPr>
        <w:spacing w:after="300"/>
      </w:pPr>
      <w:r>
        <w:rPr>
          <w:color w:val="718096"/>
          <w:sz w:val="18"/>
        </w:rPr>
        <w:t>Right-click the TOC and select "Update Field" to refresh page numbers</w:t>
      </w:r>
    </w:p>
    <w:p>
      <w:r>
        <w:fldChar w:fldCharType="begin"/>
      </w:r>
      <w:r>
        <w:instrText xml:space="preserve"> TOC \o "1-3" \h \z \u </w:instrText>
      </w:r>
      <w:r>
        <w:fldChar w:fldCharType="separate"/>
      </w:r>
    </w:p>
    <w:p>
      <w:pPr>
        <w:pStyle w:val="TOC1"/>
      </w:pPr>
      <w:r>
        <w:t>Executive Summary</w:t>
      </w:r>
      <w:r>
        <w:tab/>
      </w:r>
      <w:r>
        <w:t>3</w:t>
      </w:r>
    </w:p>
    <w:p>
      <w:pPr>
        <w:pStyle w:val="TOC1"/>
      </w:pPr>
      <w:r>
        <w:t>Vision, Mission &amp; Long-Term Goal</w:t>
      </w:r>
      <w:r>
        <w:tab/>
      </w:r>
      <w:r>
        <w:t>4</w:t>
      </w:r>
    </w:p>
    <w:p>
      <w:pPr>
        <w:pStyle w:val="TOC1"/>
      </w:pPr>
      <w:r>
        <w:t>GAIO Ecosystem Overview</w:t>
      </w:r>
      <w:r>
        <w:tab/>
      </w:r>
      <w:r>
        <w:t>5</w:t>
      </w:r>
    </w:p>
    <w:p>
      <w:pPr>
        <w:pStyle w:val="TOC1"/>
      </w:pPr>
      <w:r>
        <w:t>Event Structure</w:t>
      </w:r>
      <w:r>
        <w:tab/>
      </w:r>
      <w:r>
        <w:t>6</w:t>
      </w:r>
    </w:p>
    <w:p>
      <w:pPr>
        <w:pStyle w:val="TOC1"/>
      </w:pPr>
      <w:r>
        <w:t>Revenue Model</w:t>
      </w:r>
      <w:r>
        <w:tab/>
      </w:r>
      <w:r>
        <w:t>7</w:t>
      </w:r>
    </w:p>
    <w:p>
      <w:pPr>
        <w:pStyle w:val="TOC1"/>
      </w:pPr>
      <w:r>
        <w:t>Investment Opportunities</w:t>
      </w:r>
      <w:r>
        <w:tab/>
      </w:r>
      <w:r>
        <w:t>9</w:t>
      </w:r>
    </w:p>
    <w:p>
      <w:pPr>
        <w:pStyle w:val="TOC1"/>
      </w:pPr>
      <w:r>
        <w:t>3-Year Financial Model</w:t>
      </w:r>
      <w:r>
        <w:tab/>
      </w:r>
      <w:r>
        <w:t>10</w:t>
      </w:r>
    </w:p>
    <w:p>
      <w:pPr>
        <w:pStyle w:val="TOC1"/>
      </w:pPr>
      <w:r>
        <w:t>Use of Funds - 350k GBP</w:t>
      </w:r>
      <w:r>
        <w:tab/>
      </w:r>
      <w:r>
        <w:t>13</w:t>
      </w:r>
    </w:p>
    <w:p>
      <w:pPr>
        <w:pStyle w:val="TOC1"/>
      </w:pPr>
      <w:r>
        <w:t>Risk and Mitigation Framework</w:t>
      </w:r>
      <w:r>
        <w:tab/>
      </w:r>
      <w:r>
        <w:t>15</w:t>
      </w:r>
    </w:p>
    <w:p>
      <w:pPr>
        <w:pStyle w:val="TOC1"/>
      </w:pPr>
      <w:r>
        <w:t>Founding Partner Term Sheet</w:t>
      </w:r>
      <w:r>
        <w:tab/>
      </w:r>
      <w:r>
        <w:t>17</w:t>
      </w:r>
    </w:p>
    <w:p>
      <w:pPr>
        <w:pStyle w:val="TOC1"/>
      </w:pPr>
      <w:r>
        <w:t>5-Year Expansion Vision</w:t>
      </w:r>
      <w:r>
        <w:tab/>
      </w:r>
      <w:r>
        <w:t>19</w:t>
      </w:r>
    </w:p>
    <w:p>
      <w:r>
        <w:fldChar w:fldCharType="end"/>
      </w:r>
    </w:p>
    <w:p>
      <w:pPr>
        <w:sectPr>
          <w:type w:val="nextPage"/>
          <w:pgSz w:w="11906" w:h="16838"/>
          <w:pgMar w:top="1800" w:right="1440" w:bottom="1440" w:left="1440" w:header="720" w:footer="720"/>
        </w:sectPr>
      </w:pPr>
    </w:p>
    <w:p>
      <w:pPr>
        <w:pStyle w:val="Heading1"/>
      </w:pPr>
      <w:bookmarkStart w:name="_Toc001" w:id="001"/>
      <w:r>
        <w:t>1. Executive Summary</w:t>
      </w:r>
      <w:bookmarkEnd w:id="001"/>
    </w:p>
    <w:p>
      <w:r>
        <w:t>The Global AI Olympiad (GAIO) is a flagship international AI-focused competition, innovation ecosystem, and talent pipeline designed to identify, nurture, and commercialize future-ready artificial intelligence talent. GAIO operates as a recurring annual global event, combining virtual competitions, regional physical finals, industry partnerships, and commercial AI initiatives.</w:t>
      </w:r>
    </w:p>
    <w:p>
      <w:r>
        <w:t>For investors, GAIO represents a scalable, multi-revenue, low-risk, high-impact platform positioned at the intersection of education, technology, innovation, and global talent development. With the revised budget of GBP 350,000, GAIO is positioned to deliver an enhanced global experience with expanded reach, premium production values, and accelerated growth trajectory.</w:t>
      </w:r>
    </w:p>
    <w:p>
      <w:r>
        <w:br w:type="page"/>
      </w:r>
    </w:p>
    <w:p>
      <w:pPr>
        <w:pStyle w:val="Heading1"/>
      </w:pPr>
      <w:bookmarkStart w:name="_Toc002" w:id="002"/>
      <w:r>
        <w:t>2. Vision, Mission &amp; Long-Term Goal</w:t>
      </w:r>
      <w:bookmarkEnd w:id="002"/>
    </w:p>
    <w:p>
      <w:pPr>
        <w:pStyle w:val="Heading2"/>
      </w:pPr>
      <w:r>
        <w:t>Vision</w:t>
      </w:r>
    </w:p>
    <w:p>
      <w:r>
        <w:t>To become the world's leading AI Olympiad, shaping the next generation of AI leaders, innovators, and entrepreneurs.</w:t>
      </w:r>
    </w:p>
    <w:p>
      <w:pPr>
        <w:pStyle w:val="Heading2"/>
      </w:pPr>
      <w:r>
        <w:t>Mission</w:t>
      </w:r>
    </w:p>
    <w:p>
      <w:pPr>
        <w:numPr>
          <w:ilvl w:val="0"/>
          <w:numId w:val="2"/>
        </w:numPr>
      </w:pPr>
      <w:r>
        <w:t>Democratize access to AI education and competition</w:t>
      </w:r>
    </w:p>
    <w:p>
      <w:pPr>
        <w:numPr>
          <w:ilvl w:val="0"/>
          <w:numId w:val="2"/>
        </w:numPr>
      </w:pPr>
      <w:r>
        <w:t>Bridge academia, industry, and innovation</w:t>
      </w:r>
    </w:p>
    <w:p>
      <w:pPr>
        <w:numPr>
          <w:ilvl w:val="0"/>
          <w:numId w:val="2"/>
        </w:numPr>
      </w:pPr>
      <w:r>
        <w:t>Create a sustainable AI ecosystem with global impact</w:t>
      </w:r>
    </w:p>
    <w:p>
      <w:pPr>
        <w:pStyle w:val="Heading2"/>
      </w:pPr>
      <w:r>
        <w:t>Long-Term Goal (5-10 Years)</w:t>
      </w:r>
    </w:p>
    <w:p>
      <w:pPr>
        <w:numPr>
          <w:ilvl w:val="0"/>
          <w:numId w:val="2"/>
        </w:numPr>
      </w:pPr>
      <w:r>
        <w:t>Establish GAIO as a globally recognized AI brand</w:t>
      </w:r>
    </w:p>
    <w:p>
      <w:pPr>
        <w:numPr>
          <w:ilvl w:val="0"/>
          <w:numId w:val="2"/>
        </w:numPr>
      </w:pPr>
      <w:r>
        <w:t>Operate GAIO chapters in 50+ countries</w:t>
      </w:r>
    </w:p>
    <w:p>
      <w:pPr>
        <w:numPr>
          <w:ilvl w:val="0"/>
          <w:numId w:val="2"/>
        </w:numPr>
      </w:pPr>
      <w:r>
        <w:t>Create GAIO-backed AI startups, labs, and research hubs</w:t>
      </w:r>
    </w:p>
    <w:p>
      <w:pPr>
        <w:numPr>
          <w:ilvl w:val="0"/>
          <w:numId w:val="2"/>
        </w:numPr>
      </w:pPr>
      <w:r>
        <w:t>Become a feeder platform for global tech giants, governments, and research institutions</w:t>
      </w:r>
    </w:p>
    <w:p>
      <w:r>
        <w:br w:type="page"/>
      </w:r>
    </w:p>
    <w:p>
      <w:pPr>
        <w:pStyle w:val="Heading1"/>
      </w:pPr>
      <w:bookmarkStart w:name="_Toc003" w:id="003"/>
      <w:r>
        <w:t>3. GAIO Ecosystem Overview</w:t>
      </w:r>
      <w:bookmarkEnd w:id="003"/>
    </w:p>
    <w:p>
      <w:r>
        <w:t>GAIO is not a single event - it is a multi-layered ecosystem where each layer contributes to independent and combined revenue streams:</w:t>
      </w:r>
    </w:p>
    <w:p>
      <w:pPr>
        <w:numPr>
          <w:ilvl w:val="0"/>
          <w:numId w:val="1"/>
        </w:numPr>
      </w:pPr>
      <w:r>
        <w:rPr>
          <w:b/>
        </w:rPr>
        <w:t>Global AI Olympiad Competition</w:t>
      </w:r>
      <w:r>
        <w:t>: The flagship competition attracting global participation</w:t>
      </w:r>
    </w:p>
    <w:p>
      <w:pPr>
        <w:numPr>
          <w:ilvl w:val="0"/>
          <w:numId w:val="1"/>
        </w:numPr>
      </w:pPr>
      <w:r>
        <w:rPr>
          <w:b/>
        </w:rPr>
        <w:t>Education &amp; Training Programs</w:t>
      </w:r>
      <w:r>
        <w:t>: GAIO-certified courses, bootcamps, and masterclasses</w:t>
      </w:r>
    </w:p>
    <w:p>
      <w:pPr>
        <w:numPr>
          <w:ilvl w:val="0"/>
          <w:numId w:val="1"/>
        </w:numPr>
      </w:pPr>
      <w:r>
        <w:rPr>
          <w:b/>
        </w:rPr>
        <w:t>Startup &amp; Innovation Incubation</w:t>
      </w:r>
      <w:r>
        <w:t>: Demo days, investor pitching, and equity participation</w:t>
      </w:r>
    </w:p>
    <w:p>
      <w:pPr>
        <w:numPr>
          <w:ilvl w:val="0"/>
          <w:numId w:val="1"/>
        </w:numPr>
      </w:pPr>
      <w:r>
        <w:rPr>
          <w:b/>
        </w:rPr>
        <w:t>Corporate &amp; Government Partnerships</w:t>
      </w:r>
      <w:r>
        <w:t>: Hiring pipelines, sponsored challenges, and policy labs</w:t>
      </w:r>
    </w:p>
    <w:p>
      <w:pPr>
        <w:numPr>
          <w:ilvl w:val="0"/>
          <w:numId w:val="1"/>
        </w:numPr>
      </w:pPr>
      <w:r>
        <w:rPr>
          <w:b/>
        </w:rPr>
        <w:t>Media, Branding &amp; Global Exposure Platform</w:t>
      </w:r>
      <w:r>
        <w:t>: Broadcast rights, content licensing, and white-label competitions</w:t>
      </w:r>
    </w:p>
    <w:p>
      <w:r>
        <w:br w:type="page"/>
      </w:r>
    </w:p>
    <w:p>
      <w:pPr>
        <w:pStyle w:val="Heading1"/>
      </w:pPr>
      <w:bookmarkStart w:name="_Toc004" w:id="004"/>
      <w:r>
        <w:t>4. Event Structure</w:t>
      </w:r>
      <w:bookmarkEnd w:id="004"/>
    </w:p>
    <w:p>
      <w:pPr>
        <w:pStyle w:val="Heading2"/>
      </w:pPr>
      <w:r>
        <w:t>Phase 1: Global Virtual Competition</w:t>
      </w:r>
    </w:p>
    <w:p>
      <w:pPr>
        <w:numPr>
          <w:ilvl w:val="0"/>
          <w:numId w:val="2"/>
        </w:numPr>
      </w:pPr>
      <w:r>
        <w:t>Online registration with global reach</w:t>
      </w:r>
    </w:p>
    <w:p>
      <w:pPr>
        <w:numPr>
          <w:ilvl w:val="0"/>
          <w:numId w:val="2"/>
        </w:numPr>
      </w:pPr>
      <w:r>
        <w:t>AI challenges, quizzes, and problem-solving rounds</w:t>
      </w:r>
    </w:p>
    <w:p>
      <w:pPr>
        <w:numPr>
          <w:ilvl w:val="0"/>
          <w:numId w:val="2"/>
        </w:numPr>
      </w:pPr>
      <w:r>
        <w:t>Global participation with minimal infrastructure cost</w:t>
      </w:r>
    </w:p>
    <w:p>
      <w:pPr>
        <w:numPr>
          <w:ilvl w:val="0"/>
          <w:numId w:val="2"/>
        </w:numPr>
      </w:pPr>
      <w:r>
        <w:t>Expected: 5,000+ participants from 30+ countries</w:t>
      </w:r>
    </w:p>
    <w:p>
      <w:pPr>
        <w:pStyle w:val="Heading2"/>
      </w:pPr>
      <w:r>
        <w:t>Phase 2: Regional Physical Finals</w:t>
      </w:r>
    </w:p>
    <w:p>
      <w:pPr>
        <w:numPr>
          <w:ilvl w:val="0"/>
          <w:numId w:val="2"/>
        </w:numPr>
      </w:pPr>
      <w:r>
        <w:t>Country-wise or regional finals across 5 continents</w:t>
      </w:r>
    </w:p>
    <w:p>
      <w:pPr>
        <w:numPr>
          <w:ilvl w:val="0"/>
          <w:numId w:val="2"/>
        </w:numPr>
      </w:pPr>
      <w:r>
        <w:t>University or convention-based events</w:t>
      </w:r>
    </w:p>
    <w:p>
      <w:pPr>
        <w:numPr>
          <w:ilvl w:val="0"/>
          <w:numId w:val="2"/>
        </w:numPr>
      </w:pPr>
      <w:r>
        <w:t>Sponsored by local and regional partners</w:t>
      </w:r>
    </w:p>
    <w:p>
      <w:pPr>
        <w:numPr>
          <w:ilvl w:val="0"/>
          <w:numId w:val="2"/>
        </w:numPr>
      </w:pPr>
      <w:r>
        <w:t>Enhanced production with live streaming capability</w:t>
      </w:r>
    </w:p>
    <w:p>
      <w:pPr>
        <w:pStyle w:val="Heading2"/>
      </w:pPr>
      <w:r>
        <w:t>Phase 3: Global Grand Finale</w:t>
      </w:r>
    </w:p>
    <w:p>
      <w:pPr>
        <w:numPr>
          <w:ilvl w:val="0"/>
          <w:numId w:val="2"/>
        </w:numPr>
      </w:pPr>
      <w:r>
        <w:t>International-level final event in London</w:t>
      </w:r>
    </w:p>
    <w:p>
      <w:pPr>
        <w:numPr>
          <w:ilvl w:val="0"/>
          <w:numId w:val="2"/>
        </w:numPr>
      </w:pPr>
      <w:r>
        <w:t>High media coverage with professional broadcast</w:t>
      </w:r>
    </w:p>
    <w:p>
      <w:pPr>
        <w:numPr>
          <w:ilvl w:val="0"/>
          <w:numId w:val="2"/>
        </w:numPr>
      </w:pPr>
      <w:r>
        <w:t>Participation of global sponsors, investors, and policymakers</w:t>
      </w:r>
    </w:p>
    <w:p>
      <w:pPr>
        <w:numPr>
          <w:ilvl w:val="0"/>
          <w:numId w:val="2"/>
        </w:numPr>
      </w:pPr>
      <w:r>
        <w:t>Gala dinner and networking events for VIP attendees</w:t>
      </w:r>
    </w:p>
    <w:p>
      <w:r>
        <w:br w:type="page"/>
      </w:r>
    </w:p>
    <w:p>
      <w:pPr>
        <w:pStyle w:val="Heading1"/>
      </w:pPr>
      <w:bookmarkStart w:name="_Toc005" w:id="005"/>
      <w:r>
        <w:t>5. Revenue Model</w:t>
      </w:r>
      <w:bookmarkEnd w:id="005"/>
    </w:p>
    <w:p>
      <w:r>
        <w:t>The Global AI Olympiad has 7 primary revenue pillars creating diversified, non-event-dependent income:</w:t>
      </w:r>
    </w:p>
    <w:p>
      <w:pPr>
        <w:pStyle w:val="Heading2"/>
      </w:pPr>
      <w:r>
        <w:t>Revenue Pillar 1 | Global Title &amp; Strategic Sponsorships</w:t>
      </w:r>
    </w:p>
    <w:p>
      <w:r>
        <w:t>Global Title Sponsor (Exclusive): 1 global partner with naming rights across all countries and finals. Year 1 pricing: GBP 200,000.</w:t>
      </w:r>
    </w:p>
    <w:p>
      <w:r>
        <w:t>Global Strategic Partners (Non-Exclusive): 3-5 partners from tech, cloud, telecom, finance sectors at GBP 50,000-75,000 each.</w:t>
      </w:r>
    </w:p>
    <w:p>
      <w:pPr>
        <w:pStyle w:val="Heading2"/>
      </w:pPr>
      <w:r>
        <w:t>Revenue Pillar 2 | Continental &amp; Regional Sponsorship Rights</w:t>
      </w:r>
    </w:p>
    <w:p>
      <w:r>
        <w:t>Continental Partners (5 Continents): Asia, Europe, Africa, Middle East, Americas. Year 1 pricing: GBP 40,000 per continent.</w:t>
      </w:r>
    </w:p>
    <w:p>
      <w:r>
        <w:t>Country/Regional Sponsors: Banks, telcos, education groups bundled with university access at GBP 10,000-25,000 per country.</w:t>
      </w:r>
    </w:p>
    <w:p>
      <w:pPr>
        <w:pStyle w:val="Heading2"/>
      </w:pPr>
      <w:r>
        <w:t>Revenue Pillar 3 | Broadcast, Media &amp; Content Rights</w:t>
      </w:r>
    </w:p>
    <w:p>
      <w:r>
        <w:t>Final Event Broadcast Rights: Exclusive livestream partner, highlight packages, educational replay rights. Year 1: GBP 50,000.</w:t>
      </w:r>
    </w:p>
    <w:p>
      <w:r>
        <w:t>Documentary &amp; Content Licensing: AI stories, startup journeys, cultural AI showcases. Year 1: GBP 20,000-30,000.</w:t>
      </w:r>
    </w:p>
    <w:p>
      <w:pPr>
        <w:pStyle w:val="Heading2"/>
      </w:pPr>
      <w:r>
        <w:t>Revenue Pillar 4 | Participation &amp; Platform Fees</w:t>
      </w:r>
    </w:p>
    <w:p>
      <w:r>
        <w:t>AI Startup Track Fees: GBP 500-1,000 per shortlisted startup. Year 1 target: 100 startups x GBP 750 = GBP 75,000.</w:t>
      </w:r>
    </w:p>
    <w:p>
      <w:r>
        <w:t>Institutional Participation Packages: Universities opting for enhanced exposure at GBP 2,000-5,000 each.</w:t>
      </w:r>
    </w:p>
    <w:p>
      <w:pPr>
        <w:pStyle w:val="Heading2"/>
      </w:pPr>
      <w:r>
        <w:t>Revenue Pillar 5 | Talent, Hiring &amp; Data Licensing</w:t>
      </w:r>
    </w:p>
    <w:p>
      <w:r>
        <w:t>Corporate Talent Access: Early access to top talent database at GBP 20,000 per corporate partner.</w:t>
      </w:r>
    </w:p>
    <w:p>
      <w:r>
        <w:t>Government &amp; Education Licensing: Talent benchmarking reports and skills gap analysis.</w:t>
      </w:r>
    </w:p>
    <w:p>
      <w:pPr>
        <w:pStyle w:val="Heading2"/>
      </w:pPr>
      <w:r>
        <w:t>Revenue Pillar 6 | Startup &amp; Investment Ecosystem</w:t>
      </w:r>
    </w:p>
    <w:p>
      <w:r>
        <w:t>Demo Day &amp; Investor Access Fees: Paid access for funds and corporates at GBP 5,000-10,000 per fund.</w:t>
      </w:r>
    </w:p>
    <w:p>
      <w:r>
        <w:t>Future Carry or Success Fees: 1%-3% carry on funded startups as deferred upside.</w:t>
      </w:r>
    </w:p>
    <w:p>
      <w:pPr>
        <w:pStyle w:val="Heading2"/>
      </w:pPr>
      <w:r>
        <w:t>Revenue Pillar 7 | Institutional Expansion (Post-Year 1)</w:t>
      </w:r>
    </w:p>
    <w:p>
      <w:r>
        <w:t>Global AI Institute: Certifications, executive programs, government training. Year 2: GBP 300,000-500,000.</w:t>
      </w:r>
    </w:p>
    <w:p>
      <w:r>
        <w:t>R&amp;D and Policy Labs: Sponsored labs, research grants, think tank partnerships. Year 2-3: GBP 250,000+.</w:t>
      </w:r>
    </w:p>
    <w:p>
      <w:r>
        <w:br w:type="page"/>
      </w:r>
    </w:p>
    <w:p>
      <w:pPr>
        <w:pStyle w:val="Heading1"/>
      </w:pPr>
      <w:bookmarkStart w:name="_Toc006" w:id="006"/>
      <w:r>
        <w:t>6. Investment Opportunities</w:t>
      </w:r>
      <w:bookmarkEnd w:id="006"/>
    </w:p>
    <w:p>
      <w:pPr>
        <w:pStyle w:val="Heading2"/>
      </w:pPr>
      <w:r>
        <w:t>Investment Use Areas</w:t>
      </w:r>
    </w:p>
    <w:p>
      <w:pPr>
        <w:numPr>
          <w:ilvl w:val="0"/>
          <w:numId w:val="2"/>
        </w:numPr>
      </w:pPr>
      <w:r>
        <w:t>Platform &amp; technology development</w:t>
      </w:r>
    </w:p>
    <w:p>
      <w:pPr>
        <w:numPr>
          <w:ilvl w:val="0"/>
          <w:numId w:val="2"/>
        </w:numPr>
      </w:pPr>
      <w:r>
        <w:t>Global marketing &amp; outreach</w:t>
      </w:r>
    </w:p>
    <w:p>
      <w:pPr>
        <w:numPr>
          <w:ilvl w:val="0"/>
          <w:numId w:val="2"/>
        </w:numPr>
      </w:pPr>
      <w:r>
        <w:t>Event execution &amp; logistics</w:t>
      </w:r>
    </w:p>
    <w:p>
      <w:pPr>
        <w:numPr>
          <w:ilvl w:val="0"/>
          <w:numId w:val="2"/>
        </w:numPr>
      </w:pPr>
      <w:r>
        <w:t>Talent acquisition &amp; operations</w:t>
      </w:r>
    </w:p>
    <w:p>
      <w:pPr>
        <w:numPr>
          <w:ilvl w:val="0"/>
          <w:numId w:val="2"/>
        </w:numPr>
      </w:pPr>
      <w:r>
        <w:t>Content &amp; education infrastructure</w:t>
      </w:r>
    </w:p>
    <w:p>
      <w:pPr>
        <w:pStyle w:val="Heading2"/>
      </w:pPr>
      <w:r>
        <w:t>Expected Investor Value</w:t>
      </w:r>
    </w:p>
    <w:p>
      <w:pPr>
        <w:numPr>
          <w:ilvl w:val="0"/>
          <w:numId w:val="2"/>
        </w:numPr>
      </w:pPr>
      <w:r>
        <w:t>Equity participation</w:t>
      </w:r>
    </w:p>
    <w:p>
      <w:pPr>
        <w:numPr>
          <w:ilvl w:val="0"/>
          <w:numId w:val="2"/>
        </w:numPr>
      </w:pPr>
      <w:r>
        <w:t>Profit-sharing model</w:t>
      </w:r>
    </w:p>
    <w:p>
      <w:pPr>
        <w:numPr>
          <w:ilvl w:val="0"/>
          <w:numId w:val="2"/>
        </w:numPr>
      </w:pPr>
      <w:r>
        <w:t>Long-term brand asset growth</w:t>
      </w:r>
    </w:p>
    <w:p>
      <w:pPr>
        <w:numPr>
          <w:ilvl w:val="0"/>
          <w:numId w:val="2"/>
        </w:numPr>
      </w:pPr>
      <w:r>
        <w:t>Strategic positioning in global AI ecosystem</w:t>
      </w:r>
    </w:p>
    <w:p>
      <w:r>
        <w:br w:type="page"/>
      </w:r>
    </w:p>
    <w:p>
      <w:pPr>
        <w:pStyle w:val="Heading1"/>
      </w:pPr>
      <w:bookmarkStart w:name="_Toc007" w:id="007"/>
      <w:r>
        <w:t>7. 3-Year Financial Model</w:t>
      </w:r>
      <w:bookmarkEnd w:id="007"/>
    </w:p>
    <w:p>
      <w:r>
        <w:t>Currency: GBP | Model type: Rights-led platform with controlled cost growth</w:t>
      </w:r>
    </w:p>
    <w:p>
      <w:pPr>
        <w:pStyle w:val="Heading2"/>
      </w:pPr>
      <w:r>
        <w:t>Model Assumptions</w:t>
      </w:r>
    </w:p>
    <w:p>
      <w:r>
        <w:t>Scale Assumptions:</w:t>
      </w:r>
    </w:p>
    <w:p>
      <w:pPr>
        <w:numPr>
          <w:ilvl w:val="0"/>
          <w:numId w:val="2"/>
        </w:numPr>
      </w:pPr>
      <w:r>
        <w:t>Year 1 | 10-15 countries | 3 continents active</w:t>
      </w:r>
    </w:p>
    <w:p>
      <w:pPr>
        <w:numPr>
          <w:ilvl w:val="0"/>
          <w:numId w:val="2"/>
        </w:numPr>
      </w:pPr>
      <w:r>
        <w:t>Year 2 | 25-30 countries | all 5 continents active</w:t>
      </w:r>
    </w:p>
    <w:p>
      <w:pPr>
        <w:numPr>
          <w:ilvl w:val="0"/>
          <w:numId w:val="2"/>
        </w:numPr>
      </w:pPr>
      <w:r>
        <w:t>Year 3 | 50+ countries | full global footprint</w:t>
      </w:r>
    </w:p>
    <w:p>
      <w:r>
        <w:t>Cost Philosophy:</w:t>
      </w:r>
    </w:p>
    <w:p>
      <w:pPr>
        <w:numPr>
          <w:ilvl w:val="0"/>
          <w:numId w:val="2"/>
        </w:numPr>
      </w:pPr>
      <w:r>
        <w:t>Tech, branding, operations largely in-house</w:t>
      </w:r>
    </w:p>
    <w:p>
      <w:pPr>
        <w:numPr>
          <w:ilvl w:val="0"/>
          <w:numId w:val="2"/>
        </w:numPr>
      </w:pPr>
      <w:r>
        <w:t>Costs grow sub-linearly vs revenue</w:t>
      </w:r>
    </w:p>
    <w:p>
      <w:pPr>
        <w:numPr>
          <w:ilvl w:val="0"/>
          <w:numId w:val="2"/>
        </w:numPr>
      </w:pPr>
      <w:r>
        <w:t>High-margin rights and licensing dominate from Year 2</w:t>
      </w:r>
    </w:p>
    <w:p>
      <w:pPr>
        <w:pStyle w:val="Heading2"/>
      </w:pPr>
      <w:r>
        <w:t>Year 1 Financial Model | Foundational Year</w:t>
      </w:r>
    </w:p>
    <w:p>
      <w:r>
        <w:t>Revenue Breakdown | Year 1</w:t>
      </w:r>
    </w:p>
    <w:tbl>
      <w:tblPr>
        <w:tblW w:w="5000" w:type="pct"/>
        <w:tblBorders>
          <w:top w:val="single" w:color="3182ce" w:sz="12"/>
          <w:left w:val="nil"/>
          <w:bottom w:val="single" w:color="3182ce" w:sz="12"/>
          <w:right w:val="nil"/>
          <w:insideH w:val="nil"/>
          <w:insideV w:val="nil"/>
        </w:tblBorders>
        <w:tblCellMar>
          <w:top w:w="100" w:type="dxa"/>
          <w:left w:w="150" w:type="dxa"/>
          <w:bottom w:w="100" w:type="dxa"/>
          <w:right w:w="150" w:type="dxa"/>
        </w:tblCellMar>
      </w:tblPr>
      <w:tblGrid>
        <w:gridCol w:w="5000"/>
        <w:gridCol w:w="5000"/>
      </w:tblGrid>
      <w:tr>
        <w:trPr>
          <w:tblHeader/>
          <w:trHeight w:val="400" w:hRule="atLeast"/>
        </w:trPr>
        <w:tc>
          <w:tcPr>
            <w:tcW w:w="5000" w:type="dxa"/>
            <w:tcBorders>
              <w:bottom w:val="single" w:color="3182ce" w:sz="6"/>
            </w:tcBorders>
            <w:shd w:val="clear" w:fill="e2e8f0"/>
            <w:vAlign w:val="center"/>
          </w:tcPr>
          <w:p>
            <w:pPr>
              <w:spacing w:before="0" w:after="0"/>
              <w:jc w:val="left"/>
            </w:pPr>
            <w:r>
              <w:rPr>
                <w:b/>
                <w:color w:val="1a202c"/>
                <w:sz w:val="21"/>
              </w:rPr>
              <w:t>Revenue Stream</w:t>
            </w:r>
          </w:p>
        </w:tc>
        <w:tc>
          <w:tcPr>
            <w:tcW w:w="5000" w:type="dxa"/>
            <w:tcBorders>
              <w:bottom w:val="single" w:color="3182ce" w:sz="6"/>
            </w:tcBorders>
            <w:shd w:val="clear" w:fill="e2e8f0"/>
            <w:vAlign w:val="center"/>
          </w:tcPr>
          <w:p>
            <w:pPr>
              <w:spacing w:before="0" w:after="0"/>
              <w:jc w:val="left"/>
            </w:pPr>
            <w:r>
              <w:rPr>
                <w:b/>
                <w:color w:val="1a202c"/>
                <w:sz w:val="21"/>
              </w:rPr>
              <w:t>Amount (GBP)</w:t>
            </w:r>
          </w:p>
        </w:tc>
      </w:tr>
      <w:tr>
        <w:tc>
          <w:tcPr>
            <w:tcW w:w="5000" w:type="dxa"/>
            <w:vAlign w:val="center"/>
          </w:tcPr>
          <w:p>
            <w:pPr>
              <w:spacing w:before="0" w:after="0"/>
              <w:jc w:val="left"/>
            </w:pPr>
            <w:r>
              <w:rPr>
                <w:color w:val="1a202c"/>
                <w:sz w:val="21"/>
              </w:rPr>
              <w:t>Global Title Sponsor</w:t>
            </w:r>
          </w:p>
        </w:tc>
        <w:tc>
          <w:tcPr>
            <w:tcW w:w="5000" w:type="dxa"/>
            <w:vAlign w:val="center"/>
          </w:tcPr>
          <w:p>
            <w:pPr>
              <w:spacing w:before="0" w:after="0"/>
              <w:jc w:val="left"/>
            </w:pPr>
            <w:r>
              <w:rPr>
                <w:color w:val="1a202c"/>
                <w:sz w:val="21"/>
              </w:rPr>
              <w:t>200,000</w:t>
            </w:r>
          </w:p>
        </w:tc>
      </w:tr>
      <w:tr>
        <w:tc>
          <w:tcPr>
            <w:tcW w:w="5000" w:type="dxa"/>
            <w:vAlign w:val="center"/>
          </w:tcPr>
          <w:p>
            <w:pPr>
              <w:spacing w:before="0" w:after="0"/>
              <w:jc w:val="left"/>
            </w:pPr>
            <w:r>
              <w:rPr>
                <w:color w:val="1a202c"/>
                <w:sz w:val="21"/>
              </w:rPr>
              <w:t>Global Strategic Sponsors</w:t>
            </w:r>
          </w:p>
        </w:tc>
        <w:tc>
          <w:tcPr>
            <w:tcW w:w="5000" w:type="dxa"/>
            <w:vAlign w:val="center"/>
          </w:tcPr>
          <w:p>
            <w:pPr>
              <w:spacing w:before="0" w:after="0"/>
              <w:jc w:val="left"/>
            </w:pPr>
            <w:r>
              <w:rPr>
                <w:color w:val="1a202c"/>
                <w:sz w:val="21"/>
              </w:rPr>
              <w:t>150,000</w:t>
            </w:r>
          </w:p>
        </w:tc>
      </w:tr>
      <w:tr>
        <w:tc>
          <w:tcPr>
            <w:tcW w:w="5000" w:type="dxa"/>
            <w:vAlign w:val="center"/>
          </w:tcPr>
          <w:p>
            <w:pPr>
              <w:spacing w:before="0" w:after="0"/>
              <w:jc w:val="left"/>
            </w:pPr>
            <w:r>
              <w:rPr>
                <w:color w:val="1a202c"/>
                <w:sz w:val="21"/>
              </w:rPr>
              <w:t>Continental Sponsors (3 x GBP 40k)</w:t>
            </w:r>
          </w:p>
        </w:tc>
        <w:tc>
          <w:tcPr>
            <w:tcW w:w="5000" w:type="dxa"/>
            <w:vAlign w:val="center"/>
          </w:tcPr>
          <w:p>
            <w:pPr>
              <w:spacing w:before="0" w:after="0"/>
              <w:jc w:val="left"/>
            </w:pPr>
            <w:r>
              <w:rPr>
                <w:color w:val="1a202c"/>
                <w:sz w:val="21"/>
              </w:rPr>
              <w:t>120,000</w:t>
            </w:r>
          </w:p>
        </w:tc>
      </w:tr>
      <w:tr>
        <w:tc>
          <w:tcPr>
            <w:tcW w:w="5000" w:type="dxa"/>
            <w:vAlign w:val="center"/>
          </w:tcPr>
          <w:p>
            <w:pPr>
              <w:spacing w:before="0" w:after="0"/>
              <w:jc w:val="left"/>
            </w:pPr>
            <w:r>
              <w:rPr>
                <w:color w:val="1a202c"/>
                <w:sz w:val="21"/>
              </w:rPr>
              <w:t>Country Sponsors (10 x GBP 15k)</w:t>
            </w:r>
          </w:p>
        </w:tc>
        <w:tc>
          <w:tcPr>
            <w:tcW w:w="5000" w:type="dxa"/>
            <w:vAlign w:val="center"/>
          </w:tcPr>
          <w:p>
            <w:pPr>
              <w:spacing w:before="0" w:after="0"/>
              <w:jc w:val="left"/>
            </w:pPr>
            <w:r>
              <w:rPr>
                <w:color w:val="1a202c"/>
                <w:sz w:val="21"/>
              </w:rPr>
              <w:t>150,000</w:t>
            </w:r>
          </w:p>
        </w:tc>
      </w:tr>
      <w:tr>
        <w:tc>
          <w:tcPr>
            <w:tcW w:w="5000" w:type="dxa"/>
            <w:vAlign w:val="center"/>
          </w:tcPr>
          <w:p>
            <w:pPr>
              <w:spacing w:before="0" w:after="0"/>
              <w:jc w:val="left"/>
            </w:pPr>
            <w:r>
              <w:rPr>
                <w:color w:val="1a202c"/>
                <w:sz w:val="21"/>
              </w:rPr>
              <w:t>Broadcast and Media Rights</w:t>
            </w:r>
          </w:p>
        </w:tc>
        <w:tc>
          <w:tcPr>
            <w:tcW w:w="5000" w:type="dxa"/>
            <w:vAlign w:val="center"/>
          </w:tcPr>
          <w:p>
            <w:pPr>
              <w:spacing w:before="0" w:after="0"/>
              <w:jc w:val="left"/>
            </w:pPr>
            <w:r>
              <w:rPr>
                <w:color w:val="1a202c"/>
                <w:sz w:val="21"/>
              </w:rPr>
              <w:t>80,000</w:t>
            </w:r>
          </w:p>
        </w:tc>
      </w:tr>
      <w:tr>
        <w:tc>
          <w:tcPr>
            <w:tcW w:w="5000" w:type="dxa"/>
            <w:vAlign w:val="center"/>
          </w:tcPr>
          <w:p>
            <w:pPr>
              <w:spacing w:before="0" w:after="0"/>
              <w:jc w:val="left"/>
            </w:pPr>
            <w:r>
              <w:rPr>
                <w:color w:val="1a202c"/>
                <w:sz w:val="21"/>
              </w:rPr>
              <w:t>Startup Participation Fees</w:t>
            </w:r>
          </w:p>
        </w:tc>
        <w:tc>
          <w:tcPr>
            <w:tcW w:w="5000" w:type="dxa"/>
            <w:vAlign w:val="center"/>
          </w:tcPr>
          <w:p>
            <w:pPr>
              <w:spacing w:before="0" w:after="0"/>
              <w:jc w:val="left"/>
            </w:pPr>
            <w:r>
              <w:rPr>
                <w:color w:val="1a202c"/>
                <w:sz w:val="21"/>
              </w:rPr>
              <w:t>75,000</w:t>
            </w:r>
          </w:p>
        </w:tc>
      </w:tr>
      <w:tr>
        <w:tc>
          <w:tcPr>
            <w:tcW w:w="5000" w:type="dxa"/>
            <w:vAlign w:val="center"/>
          </w:tcPr>
          <w:p>
            <w:pPr>
              <w:spacing w:before="0" w:after="0"/>
              <w:jc w:val="left"/>
            </w:pPr>
            <w:r>
              <w:rPr>
                <w:color w:val="1a202c"/>
                <w:sz w:val="21"/>
              </w:rPr>
              <w:t>University Packages</w:t>
            </w:r>
          </w:p>
        </w:tc>
        <w:tc>
          <w:tcPr>
            <w:tcW w:w="5000" w:type="dxa"/>
            <w:vAlign w:val="center"/>
          </w:tcPr>
          <w:p>
            <w:pPr>
              <w:spacing w:before="0" w:after="0"/>
              <w:jc w:val="left"/>
            </w:pPr>
            <w:r>
              <w:rPr>
                <w:color w:val="1a202c"/>
                <w:sz w:val="21"/>
              </w:rPr>
              <w:t>60,000</w:t>
            </w:r>
          </w:p>
        </w:tc>
      </w:tr>
      <w:tr>
        <w:tc>
          <w:tcPr>
            <w:tcW w:w="5000" w:type="dxa"/>
            <w:vAlign w:val="center"/>
          </w:tcPr>
          <w:p>
            <w:pPr>
              <w:spacing w:before="0" w:after="0"/>
              <w:jc w:val="left"/>
            </w:pPr>
            <w:r>
              <w:rPr>
                <w:color w:val="1a202c"/>
                <w:sz w:val="21"/>
              </w:rPr>
              <w:t>Talent and Investor Access</w:t>
            </w:r>
          </w:p>
        </w:tc>
        <w:tc>
          <w:tcPr>
            <w:tcW w:w="5000" w:type="dxa"/>
            <w:vAlign w:val="center"/>
          </w:tcPr>
          <w:p>
            <w:pPr>
              <w:spacing w:before="0" w:after="0"/>
              <w:jc w:val="left"/>
            </w:pPr>
            <w:r>
              <w:rPr>
                <w:color w:val="1a202c"/>
                <w:sz w:val="21"/>
              </w:rPr>
              <w:t>175,000</w:t>
            </w:r>
          </w:p>
        </w:tc>
      </w:tr>
      <w:tr>
        <w:trPr>
          <w:tblHeader/>
          <w:trHeight w:val="400" w:hRule="atLeast"/>
        </w:trPr>
        <w:tc>
          <w:tcPr>
            <w:tcW w:w="5000" w:type="dxa"/>
            <w:tcBorders>
              <w:bottom w:val="single" w:color="3182ce" w:sz="6"/>
            </w:tcBorders>
            <w:shd w:val="clear" w:fill="e2e8f0"/>
            <w:vAlign w:val="center"/>
          </w:tcPr>
          <w:p>
            <w:pPr>
              <w:spacing w:before="0" w:after="0"/>
              <w:jc w:val="left"/>
            </w:pPr>
            <w:r>
              <w:rPr>
                <w:b/>
                <w:color w:val="1a202c"/>
                <w:sz w:val="21"/>
              </w:rPr>
              <w:t>Total Revenue Y1</w:t>
            </w:r>
          </w:p>
        </w:tc>
        <w:tc>
          <w:tcPr>
            <w:tcW w:w="5000" w:type="dxa"/>
            <w:tcBorders>
              <w:bottom w:val="single" w:color="3182ce" w:sz="6"/>
            </w:tcBorders>
            <w:shd w:val="clear" w:fill="e2e8f0"/>
            <w:vAlign w:val="center"/>
          </w:tcPr>
          <w:p>
            <w:pPr>
              <w:spacing w:before="0" w:after="0"/>
              <w:jc w:val="left"/>
            </w:pPr>
            <w:r>
              <w:rPr>
                <w:b/>
                <w:color w:val="1a202c"/>
                <w:sz w:val="21"/>
              </w:rPr>
              <w:t>1,010,000</w:t>
            </w:r>
          </w:p>
        </w:tc>
      </w:tr>
    </w:tbl>
    <w:p>
      <w:r>
        <w:t>Cost Breakdown | Year 1</w:t>
      </w:r>
    </w:p>
    <w:tbl>
      <w:tblPr>
        <w:tblW w:w="5000" w:type="pct"/>
        <w:tblBorders>
          <w:top w:val="single" w:color="3182ce" w:sz="12"/>
          <w:left w:val="nil"/>
          <w:bottom w:val="single" w:color="3182ce" w:sz="12"/>
          <w:right w:val="nil"/>
          <w:insideH w:val="nil"/>
          <w:insideV w:val="nil"/>
        </w:tblBorders>
        <w:tblCellMar>
          <w:top w:w="100" w:type="dxa"/>
          <w:left w:w="150" w:type="dxa"/>
          <w:bottom w:w="100" w:type="dxa"/>
          <w:right w:w="150" w:type="dxa"/>
        </w:tblCellMar>
      </w:tblPr>
      <w:tblGrid>
        <w:gridCol w:w="5000"/>
        <w:gridCol w:w="5000"/>
      </w:tblGrid>
      <w:tr>
        <w:trPr>
          <w:tblHeader/>
          <w:trHeight w:val="400" w:hRule="atLeast"/>
        </w:trPr>
        <w:tc>
          <w:tcPr>
            <w:tcW w:w="5000" w:type="dxa"/>
            <w:tcBorders>
              <w:bottom w:val="single" w:color="3182ce" w:sz="6"/>
            </w:tcBorders>
            <w:shd w:val="clear" w:fill="e2e8f0"/>
            <w:vAlign w:val="center"/>
          </w:tcPr>
          <w:p>
            <w:pPr>
              <w:spacing w:before="0" w:after="0"/>
              <w:jc w:val="left"/>
            </w:pPr>
            <w:r>
              <w:rPr>
                <w:b/>
                <w:color w:val="1a202c"/>
                <w:sz w:val="21"/>
              </w:rPr>
              <w:t>Cost Category</w:t>
            </w:r>
          </w:p>
        </w:tc>
        <w:tc>
          <w:tcPr>
            <w:tcW w:w="5000" w:type="dxa"/>
            <w:tcBorders>
              <w:bottom w:val="single" w:color="3182ce" w:sz="6"/>
            </w:tcBorders>
            <w:shd w:val="clear" w:fill="e2e8f0"/>
            <w:vAlign w:val="center"/>
          </w:tcPr>
          <w:p>
            <w:pPr>
              <w:spacing w:before="0" w:after="0"/>
              <w:jc w:val="left"/>
            </w:pPr>
            <w:r>
              <w:rPr>
                <w:b/>
                <w:color w:val="1a202c"/>
                <w:sz w:val="21"/>
              </w:rPr>
              <w:t>Amount (GBP)</w:t>
            </w:r>
          </w:p>
        </w:tc>
      </w:tr>
      <w:tr>
        <w:tc>
          <w:tcPr>
            <w:tcW w:w="5000" w:type="dxa"/>
            <w:vAlign w:val="center"/>
          </w:tcPr>
          <w:p>
            <w:pPr>
              <w:spacing w:before="0" w:after="0"/>
              <w:jc w:val="left"/>
            </w:pPr>
            <w:r>
              <w:rPr>
                <w:color w:val="1a202c"/>
                <w:sz w:val="21"/>
              </w:rPr>
              <w:t>London Final Event</w:t>
            </w:r>
          </w:p>
        </w:tc>
        <w:tc>
          <w:tcPr>
            <w:tcW w:w="5000" w:type="dxa"/>
            <w:vAlign w:val="center"/>
          </w:tcPr>
          <w:p>
            <w:pPr>
              <w:spacing w:before="0" w:after="0"/>
              <w:jc w:val="left"/>
            </w:pPr>
            <w:r>
              <w:rPr>
                <w:color w:val="1a202c"/>
                <w:sz w:val="21"/>
              </w:rPr>
              <w:t>192,500</w:t>
            </w:r>
          </w:p>
        </w:tc>
      </w:tr>
      <w:tr>
        <w:tc>
          <w:tcPr>
            <w:tcW w:w="5000" w:type="dxa"/>
            <w:vAlign w:val="center"/>
          </w:tcPr>
          <w:p>
            <w:pPr>
              <w:spacing w:before="0" w:after="0"/>
              <w:jc w:val="left"/>
            </w:pPr>
            <w:r>
              <w:rPr>
                <w:color w:val="1a202c"/>
                <w:sz w:val="21"/>
              </w:rPr>
              <w:t>Media Production</w:t>
            </w:r>
          </w:p>
        </w:tc>
        <w:tc>
          <w:tcPr>
            <w:tcW w:w="5000" w:type="dxa"/>
            <w:vAlign w:val="center"/>
          </w:tcPr>
          <w:p>
            <w:pPr>
              <w:spacing w:before="0" w:after="0"/>
              <w:jc w:val="left"/>
            </w:pPr>
            <w:r>
              <w:rPr>
                <w:color w:val="1a202c"/>
                <w:sz w:val="21"/>
              </w:rPr>
              <w:t>52,500</w:t>
            </w:r>
          </w:p>
        </w:tc>
      </w:tr>
      <w:tr>
        <w:tc>
          <w:tcPr>
            <w:tcW w:w="5000" w:type="dxa"/>
            <w:vAlign w:val="center"/>
          </w:tcPr>
          <w:p>
            <w:pPr>
              <w:spacing w:before="0" w:after="0"/>
              <w:jc w:val="left"/>
            </w:pPr>
            <w:r>
              <w:rPr>
                <w:color w:val="1a202c"/>
                <w:sz w:val="21"/>
              </w:rPr>
              <w:t>Operations and Team</w:t>
            </w:r>
          </w:p>
        </w:tc>
        <w:tc>
          <w:tcPr>
            <w:tcW w:w="5000" w:type="dxa"/>
            <w:vAlign w:val="center"/>
          </w:tcPr>
          <w:p>
            <w:pPr>
              <w:spacing w:before="0" w:after="0"/>
              <w:jc w:val="left"/>
            </w:pPr>
            <w:r>
              <w:rPr>
                <w:color w:val="1a202c"/>
                <w:sz w:val="21"/>
              </w:rPr>
              <w:t>35,000</w:t>
            </w:r>
          </w:p>
        </w:tc>
      </w:tr>
      <w:tr>
        <w:tc>
          <w:tcPr>
            <w:tcW w:w="5000" w:type="dxa"/>
            <w:vAlign w:val="center"/>
          </w:tcPr>
          <w:p>
            <w:pPr>
              <w:spacing w:before="0" w:after="0"/>
              <w:jc w:val="left"/>
            </w:pPr>
            <w:r>
              <w:rPr>
                <w:color w:val="1a202c"/>
                <w:sz w:val="21"/>
              </w:rPr>
              <w:t>Travel and Jury</w:t>
            </w:r>
          </w:p>
        </w:tc>
        <w:tc>
          <w:tcPr>
            <w:tcW w:w="5000" w:type="dxa"/>
            <w:vAlign w:val="center"/>
          </w:tcPr>
          <w:p>
            <w:pPr>
              <w:spacing w:before="0" w:after="0"/>
              <w:jc w:val="left"/>
            </w:pPr>
            <w:r>
              <w:rPr>
                <w:color w:val="1a202c"/>
                <w:sz w:val="21"/>
              </w:rPr>
              <w:t>52,500</w:t>
            </w:r>
          </w:p>
        </w:tc>
      </w:tr>
      <w:tr>
        <w:tc>
          <w:tcPr>
            <w:tcW w:w="5000" w:type="dxa"/>
            <w:vAlign w:val="center"/>
          </w:tcPr>
          <w:p>
            <w:pPr>
              <w:spacing w:before="0" w:after="0"/>
              <w:jc w:val="left"/>
            </w:pPr>
            <w:r>
              <w:rPr>
                <w:color w:val="1a202c"/>
                <w:sz w:val="21"/>
              </w:rPr>
              <w:t>Platform and Hosting</w:t>
            </w:r>
          </w:p>
        </w:tc>
        <w:tc>
          <w:tcPr>
            <w:tcW w:w="5000" w:type="dxa"/>
            <w:vAlign w:val="center"/>
          </w:tcPr>
          <w:p>
            <w:pPr>
              <w:spacing w:before="0" w:after="0"/>
              <w:jc w:val="left"/>
            </w:pPr>
            <w:r>
              <w:rPr>
                <w:color w:val="1a202c"/>
                <w:sz w:val="21"/>
              </w:rPr>
              <w:t>17,500</w:t>
            </w:r>
          </w:p>
        </w:tc>
      </w:tr>
      <w:tr>
        <w:tc>
          <w:tcPr>
            <w:tcW w:w="5000" w:type="dxa"/>
            <w:vAlign w:val="center"/>
          </w:tcPr>
          <w:p>
            <w:pPr>
              <w:spacing w:before="0" w:after="0"/>
              <w:jc w:val="left"/>
            </w:pPr>
            <w:r>
              <w:rPr>
                <w:color w:val="1a202c"/>
                <w:sz w:val="21"/>
              </w:rPr>
              <w:t>Contingency</w:t>
            </w:r>
          </w:p>
        </w:tc>
        <w:tc>
          <w:tcPr>
            <w:tcW w:w="5000" w:type="dxa"/>
            <w:vAlign w:val="center"/>
          </w:tcPr>
          <w:p>
            <w:pPr>
              <w:spacing w:before="0" w:after="0"/>
              <w:jc w:val="left"/>
            </w:pPr>
            <w:r>
              <w:rPr>
                <w:color w:val="1a202c"/>
                <w:sz w:val="21"/>
              </w:rPr>
              <w:t>10,500</w:t>
            </w:r>
          </w:p>
        </w:tc>
      </w:tr>
      <w:tr>
        <w:trPr>
          <w:tblHeader/>
          <w:trHeight w:val="400" w:hRule="atLeast"/>
        </w:trPr>
        <w:tc>
          <w:tcPr>
            <w:tcW w:w="5000" w:type="dxa"/>
            <w:tcBorders>
              <w:bottom w:val="single" w:color="3182ce" w:sz="6"/>
            </w:tcBorders>
            <w:shd w:val="clear" w:fill="e2e8f0"/>
            <w:vAlign w:val="center"/>
          </w:tcPr>
          <w:p>
            <w:pPr>
              <w:spacing w:before="0" w:after="0"/>
              <w:jc w:val="left"/>
            </w:pPr>
            <w:r>
              <w:rPr>
                <w:b/>
                <w:color w:val="1a202c"/>
                <w:sz w:val="21"/>
              </w:rPr>
              <w:t>Total Costs Y1</w:t>
            </w:r>
          </w:p>
        </w:tc>
        <w:tc>
          <w:tcPr>
            <w:tcW w:w="5000" w:type="dxa"/>
            <w:tcBorders>
              <w:bottom w:val="single" w:color="3182ce" w:sz="6"/>
            </w:tcBorders>
            <w:shd w:val="clear" w:fill="e2e8f0"/>
            <w:vAlign w:val="center"/>
          </w:tcPr>
          <w:p>
            <w:pPr>
              <w:spacing w:before="0" w:after="0"/>
              <w:jc w:val="left"/>
            </w:pPr>
            <w:r>
              <w:rPr>
                <w:b/>
                <w:color w:val="1a202c"/>
                <w:sz w:val="21"/>
              </w:rPr>
              <w:t>360,500</w:t>
            </w:r>
          </w:p>
        </w:tc>
      </w:tr>
    </w:tbl>
    <w:p>
      <w:r>
        <w:t>Year 1 Result:</w:t>
      </w:r>
    </w:p>
    <w:p>
      <w:pPr>
        <w:numPr>
          <w:ilvl w:val="0"/>
          <w:numId w:val="2"/>
        </w:numPr>
      </w:pPr>
      <w:r>
        <w:t>Gross Margin | ~89%</w:t>
      </w:r>
    </w:p>
    <w:p>
      <w:pPr>
        <w:numPr>
          <w:ilvl w:val="0"/>
          <w:numId w:val="2"/>
        </w:numPr>
      </w:pPr>
      <w:r>
        <w:t>Operating Surplus | ~GBP 900,000</w:t>
      </w:r>
    </w:p>
    <w:p>
      <w:pPr>
        <w:numPr>
          <w:ilvl w:val="0"/>
          <w:numId w:val="2"/>
        </w:numPr>
      </w:pPr>
      <w:r>
        <w:t>Surplus purpose: Cash reserve, Year 2 expansion, Institutional credibility</w:t>
      </w:r>
    </w:p>
    <w:p>
      <w:pPr>
        <w:pStyle w:val="Heading2"/>
      </w:pPr>
      <w:r>
        <w:t>Year 2 Financial Model | Institutional Expansion</w:t>
      </w:r>
    </w:p>
    <w:p>
      <w:r>
        <w:t>Key Additions:</w:t>
      </w:r>
    </w:p>
    <w:p>
      <w:pPr>
        <w:numPr>
          <w:ilvl w:val="0"/>
          <w:numId w:val="2"/>
        </w:numPr>
      </w:pPr>
      <w:r>
        <w:t>Full continental rollout</w:t>
      </w:r>
    </w:p>
    <w:p>
      <w:pPr>
        <w:numPr>
          <w:ilvl w:val="0"/>
          <w:numId w:val="2"/>
        </w:numPr>
      </w:pPr>
      <w:r>
        <w:t>Global AI Institute launch</w:t>
      </w:r>
    </w:p>
    <w:p>
      <w:pPr>
        <w:numPr>
          <w:ilvl w:val="0"/>
          <w:numId w:val="2"/>
        </w:numPr>
      </w:pPr>
      <w:r>
        <w:t>Stronger broadcast licensing</w:t>
      </w:r>
    </w:p>
    <w:p>
      <w:pPr>
        <w:numPr>
          <w:ilvl w:val="0"/>
          <w:numId w:val="2"/>
        </w:numPr>
      </w:pPr>
      <w:r>
        <w:t>Higher sponsor pricing</w:t>
      </w:r>
    </w:p>
    <w:p>
      <w:r>
        <w:t>Revenue Breakdown | Year 2</w:t>
      </w:r>
    </w:p>
    <w:tbl>
      <w:tblPr>
        <w:tblW w:w="5000" w:type="pct"/>
        <w:tblBorders>
          <w:top w:val="single" w:color="3182ce" w:sz="12"/>
          <w:left w:val="nil"/>
          <w:bottom w:val="single" w:color="3182ce" w:sz="12"/>
          <w:right w:val="nil"/>
          <w:insideH w:val="nil"/>
          <w:insideV w:val="nil"/>
        </w:tblBorders>
        <w:tblCellMar>
          <w:top w:w="100" w:type="dxa"/>
          <w:left w:w="150" w:type="dxa"/>
          <w:bottom w:w="100" w:type="dxa"/>
          <w:right w:w="150" w:type="dxa"/>
        </w:tblCellMar>
      </w:tblPr>
      <w:tblGrid>
        <w:gridCol w:w="5000"/>
        <w:gridCol w:w="5000"/>
      </w:tblGrid>
      <w:tr>
        <w:trPr>
          <w:tblHeader/>
          <w:trHeight w:val="400" w:hRule="atLeast"/>
        </w:trPr>
        <w:tc>
          <w:tcPr>
            <w:tcW w:w="5000" w:type="dxa"/>
            <w:tcBorders>
              <w:bottom w:val="single" w:color="3182ce" w:sz="6"/>
            </w:tcBorders>
            <w:shd w:val="clear" w:fill="e2e8f0"/>
            <w:vAlign w:val="center"/>
          </w:tcPr>
          <w:p>
            <w:pPr>
              <w:spacing w:before="0" w:after="0"/>
              <w:jc w:val="left"/>
            </w:pPr>
            <w:r>
              <w:rPr>
                <w:b/>
                <w:color w:val="1a202c"/>
                <w:sz w:val="21"/>
              </w:rPr>
              <w:t>Revenue Stream</w:t>
            </w:r>
          </w:p>
        </w:tc>
        <w:tc>
          <w:tcPr>
            <w:tcW w:w="5000" w:type="dxa"/>
            <w:tcBorders>
              <w:bottom w:val="single" w:color="3182ce" w:sz="6"/>
            </w:tcBorders>
            <w:shd w:val="clear" w:fill="e2e8f0"/>
            <w:vAlign w:val="center"/>
          </w:tcPr>
          <w:p>
            <w:pPr>
              <w:spacing w:before="0" w:after="0"/>
              <w:jc w:val="left"/>
            </w:pPr>
            <w:r>
              <w:rPr>
                <w:b/>
                <w:color w:val="1a202c"/>
                <w:sz w:val="21"/>
              </w:rPr>
              <w:t>Amount (GBP)</w:t>
            </w:r>
          </w:p>
        </w:tc>
      </w:tr>
      <w:tr>
        <w:tc>
          <w:tcPr>
            <w:tcW w:w="5000" w:type="dxa"/>
            <w:vAlign w:val="center"/>
          </w:tcPr>
          <w:p>
            <w:pPr>
              <w:spacing w:before="0" w:after="0"/>
              <w:jc w:val="left"/>
            </w:pPr>
            <w:r>
              <w:rPr>
                <w:color w:val="1a202c"/>
                <w:sz w:val="21"/>
              </w:rPr>
              <w:t>Global Title Sponsor</w:t>
            </w:r>
          </w:p>
        </w:tc>
        <w:tc>
          <w:tcPr>
            <w:tcW w:w="5000" w:type="dxa"/>
            <w:vAlign w:val="center"/>
          </w:tcPr>
          <w:p>
            <w:pPr>
              <w:spacing w:before="0" w:after="0"/>
              <w:jc w:val="left"/>
            </w:pPr>
            <w:r>
              <w:rPr>
                <w:color w:val="1a202c"/>
                <w:sz w:val="21"/>
              </w:rPr>
              <w:t>350,000</w:t>
            </w:r>
          </w:p>
        </w:tc>
      </w:tr>
      <w:tr>
        <w:tc>
          <w:tcPr>
            <w:tcW w:w="5000" w:type="dxa"/>
            <w:vAlign w:val="center"/>
          </w:tcPr>
          <w:p>
            <w:pPr>
              <w:spacing w:before="0" w:after="0"/>
              <w:jc w:val="left"/>
            </w:pPr>
            <w:r>
              <w:rPr>
                <w:color w:val="1a202c"/>
                <w:sz w:val="21"/>
              </w:rPr>
              <w:t>Global Strategic Sponsors</w:t>
            </w:r>
          </w:p>
        </w:tc>
        <w:tc>
          <w:tcPr>
            <w:tcW w:w="5000" w:type="dxa"/>
            <w:vAlign w:val="center"/>
          </w:tcPr>
          <w:p>
            <w:pPr>
              <w:spacing w:before="0" w:after="0"/>
              <w:jc w:val="left"/>
            </w:pPr>
            <w:r>
              <w:rPr>
                <w:color w:val="1a202c"/>
                <w:sz w:val="21"/>
              </w:rPr>
              <w:t>250,000</w:t>
            </w:r>
          </w:p>
        </w:tc>
      </w:tr>
      <w:tr>
        <w:tc>
          <w:tcPr>
            <w:tcW w:w="5000" w:type="dxa"/>
            <w:vAlign w:val="center"/>
          </w:tcPr>
          <w:p>
            <w:pPr>
              <w:spacing w:before="0" w:after="0"/>
              <w:jc w:val="left"/>
            </w:pPr>
            <w:r>
              <w:rPr>
                <w:color w:val="1a202c"/>
                <w:sz w:val="21"/>
              </w:rPr>
              <w:t>Continental Sponsors (5 x GBP 75k)</w:t>
            </w:r>
          </w:p>
        </w:tc>
        <w:tc>
          <w:tcPr>
            <w:tcW w:w="5000" w:type="dxa"/>
            <w:vAlign w:val="center"/>
          </w:tcPr>
          <w:p>
            <w:pPr>
              <w:spacing w:before="0" w:after="0"/>
              <w:jc w:val="left"/>
            </w:pPr>
            <w:r>
              <w:rPr>
                <w:color w:val="1a202c"/>
                <w:sz w:val="21"/>
              </w:rPr>
              <w:t>375,000</w:t>
            </w:r>
          </w:p>
        </w:tc>
      </w:tr>
      <w:tr>
        <w:tc>
          <w:tcPr>
            <w:tcW w:w="5000" w:type="dxa"/>
            <w:vAlign w:val="center"/>
          </w:tcPr>
          <w:p>
            <w:pPr>
              <w:spacing w:before="0" w:after="0"/>
              <w:jc w:val="left"/>
            </w:pPr>
            <w:r>
              <w:rPr>
                <w:color w:val="1a202c"/>
                <w:sz w:val="21"/>
              </w:rPr>
              <w:t>Country Sponsors (25 x GBP 20k)</w:t>
            </w:r>
          </w:p>
        </w:tc>
        <w:tc>
          <w:tcPr>
            <w:tcW w:w="5000" w:type="dxa"/>
            <w:vAlign w:val="center"/>
          </w:tcPr>
          <w:p>
            <w:pPr>
              <w:spacing w:before="0" w:after="0"/>
              <w:jc w:val="left"/>
            </w:pPr>
            <w:r>
              <w:rPr>
                <w:color w:val="1a202c"/>
                <w:sz w:val="21"/>
              </w:rPr>
              <w:t>500,000</w:t>
            </w:r>
          </w:p>
        </w:tc>
      </w:tr>
      <w:tr>
        <w:tc>
          <w:tcPr>
            <w:tcW w:w="5000" w:type="dxa"/>
            <w:vAlign w:val="center"/>
          </w:tcPr>
          <w:p>
            <w:pPr>
              <w:spacing w:before="0" w:after="0"/>
              <w:jc w:val="left"/>
            </w:pPr>
            <w:r>
              <w:rPr>
                <w:color w:val="1a202c"/>
                <w:sz w:val="21"/>
              </w:rPr>
              <w:t>Broadcast and Media Rights</w:t>
            </w:r>
          </w:p>
        </w:tc>
        <w:tc>
          <w:tcPr>
            <w:tcW w:w="5000" w:type="dxa"/>
            <w:vAlign w:val="center"/>
          </w:tcPr>
          <w:p>
            <w:pPr>
              <w:spacing w:before="0" w:after="0"/>
              <w:jc w:val="left"/>
            </w:pPr>
            <w:r>
              <w:rPr>
                <w:color w:val="1a202c"/>
                <w:sz w:val="21"/>
              </w:rPr>
              <w:t>150,000</w:t>
            </w:r>
          </w:p>
        </w:tc>
      </w:tr>
      <w:tr>
        <w:tc>
          <w:tcPr>
            <w:tcW w:w="5000" w:type="dxa"/>
            <w:vAlign w:val="center"/>
          </w:tcPr>
          <w:p>
            <w:pPr>
              <w:spacing w:before="0" w:after="0"/>
              <w:jc w:val="left"/>
            </w:pPr>
            <w:r>
              <w:rPr>
                <w:color w:val="1a202c"/>
                <w:sz w:val="21"/>
              </w:rPr>
              <w:t>Startup Participation Fees</w:t>
            </w:r>
          </w:p>
        </w:tc>
        <w:tc>
          <w:tcPr>
            <w:tcW w:w="5000" w:type="dxa"/>
            <w:vAlign w:val="center"/>
          </w:tcPr>
          <w:p>
            <w:pPr>
              <w:spacing w:before="0" w:after="0"/>
              <w:jc w:val="left"/>
            </w:pPr>
            <w:r>
              <w:rPr>
                <w:color w:val="1a202c"/>
                <w:sz w:val="21"/>
              </w:rPr>
              <w:t>150,000</w:t>
            </w:r>
          </w:p>
        </w:tc>
      </w:tr>
      <w:tr>
        <w:tc>
          <w:tcPr>
            <w:tcW w:w="5000" w:type="dxa"/>
            <w:vAlign w:val="center"/>
          </w:tcPr>
          <w:p>
            <w:pPr>
              <w:spacing w:before="0" w:after="0"/>
              <w:jc w:val="left"/>
            </w:pPr>
            <w:r>
              <w:rPr>
                <w:color w:val="1a202c"/>
                <w:sz w:val="21"/>
              </w:rPr>
              <w:t>Talent and Hiring Licensing</w:t>
            </w:r>
          </w:p>
        </w:tc>
        <w:tc>
          <w:tcPr>
            <w:tcW w:w="5000" w:type="dxa"/>
            <w:vAlign w:val="center"/>
          </w:tcPr>
          <w:p>
            <w:pPr>
              <w:spacing w:before="0" w:after="0"/>
              <w:jc w:val="left"/>
            </w:pPr>
            <w:r>
              <w:rPr>
                <w:color w:val="1a202c"/>
                <w:sz w:val="21"/>
              </w:rPr>
              <w:t>250,000</w:t>
            </w:r>
          </w:p>
        </w:tc>
      </w:tr>
      <w:tr>
        <w:tc>
          <w:tcPr>
            <w:tcW w:w="5000" w:type="dxa"/>
            <w:vAlign w:val="center"/>
          </w:tcPr>
          <w:p>
            <w:pPr>
              <w:spacing w:before="0" w:after="0"/>
              <w:jc w:val="left"/>
            </w:pPr>
            <w:r>
              <w:rPr>
                <w:color w:val="1a202c"/>
                <w:sz w:val="21"/>
              </w:rPr>
              <w:t>Global AI Institute Programs</w:t>
            </w:r>
          </w:p>
        </w:tc>
        <w:tc>
          <w:tcPr>
            <w:tcW w:w="5000" w:type="dxa"/>
            <w:vAlign w:val="center"/>
          </w:tcPr>
          <w:p>
            <w:pPr>
              <w:spacing w:before="0" w:after="0"/>
              <w:jc w:val="left"/>
            </w:pPr>
            <w:r>
              <w:rPr>
                <w:color w:val="1a202c"/>
                <w:sz w:val="21"/>
              </w:rPr>
              <w:t>400,000</w:t>
            </w:r>
          </w:p>
        </w:tc>
      </w:tr>
      <w:tr>
        <w:trPr>
          <w:tblHeader/>
          <w:trHeight w:val="400" w:hRule="atLeast"/>
        </w:trPr>
        <w:tc>
          <w:tcPr>
            <w:tcW w:w="5000" w:type="dxa"/>
            <w:tcBorders>
              <w:bottom w:val="single" w:color="3182ce" w:sz="6"/>
            </w:tcBorders>
            <w:shd w:val="clear" w:fill="e2e8f0"/>
            <w:vAlign w:val="center"/>
          </w:tcPr>
          <w:p>
            <w:pPr>
              <w:spacing w:before="0" w:after="0"/>
              <w:jc w:val="left"/>
            </w:pPr>
            <w:r>
              <w:rPr>
                <w:b/>
                <w:color w:val="1a202c"/>
                <w:sz w:val="21"/>
              </w:rPr>
              <w:t>Total Revenue Y2</w:t>
            </w:r>
          </w:p>
        </w:tc>
        <w:tc>
          <w:tcPr>
            <w:tcW w:w="5000" w:type="dxa"/>
            <w:tcBorders>
              <w:bottom w:val="single" w:color="3182ce" w:sz="6"/>
            </w:tcBorders>
            <w:shd w:val="clear" w:fill="e2e8f0"/>
            <w:vAlign w:val="center"/>
          </w:tcPr>
          <w:p>
            <w:pPr>
              <w:spacing w:before="0" w:after="0"/>
              <w:jc w:val="left"/>
            </w:pPr>
            <w:r>
              <w:rPr>
                <w:b/>
                <w:color w:val="1a202c"/>
                <w:sz w:val="21"/>
              </w:rPr>
              <w:t>2,425,000</w:t>
            </w:r>
          </w:p>
        </w:tc>
      </w:tr>
    </w:tbl>
    <w:p>
      <w:r>
        <w:t>Cost Breakdown | Year 2</w:t>
      </w:r>
    </w:p>
    <w:tbl>
      <w:tblPr>
        <w:tblW w:w="5000" w:type="pct"/>
        <w:tblBorders>
          <w:top w:val="single" w:color="3182ce" w:sz="12"/>
          <w:left w:val="nil"/>
          <w:bottom w:val="single" w:color="3182ce" w:sz="12"/>
          <w:right w:val="nil"/>
          <w:insideH w:val="nil"/>
          <w:insideV w:val="nil"/>
        </w:tblBorders>
        <w:tblCellMar>
          <w:top w:w="100" w:type="dxa"/>
          <w:left w:w="150" w:type="dxa"/>
          <w:bottom w:w="100" w:type="dxa"/>
          <w:right w:w="150" w:type="dxa"/>
        </w:tblCellMar>
      </w:tblPr>
      <w:tblGrid>
        <w:gridCol w:w="5000"/>
        <w:gridCol w:w="5000"/>
      </w:tblGrid>
      <w:tr>
        <w:trPr>
          <w:tblHeader/>
          <w:trHeight w:val="400" w:hRule="atLeast"/>
        </w:trPr>
        <w:tc>
          <w:tcPr>
            <w:tcW w:w="5000" w:type="dxa"/>
            <w:tcBorders>
              <w:bottom w:val="single" w:color="3182ce" w:sz="6"/>
            </w:tcBorders>
            <w:shd w:val="clear" w:fill="e2e8f0"/>
            <w:vAlign w:val="center"/>
          </w:tcPr>
          <w:p>
            <w:pPr>
              <w:spacing w:before="0" w:after="0"/>
              <w:jc w:val="left"/>
            </w:pPr>
            <w:r>
              <w:rPr>
                <w:b/>
                <w:color w:val="1a202c"/>
                <w:sz w:val="21"/>
              </w:rPr>
              <w:t>Cost Category</w:t>
            </w:r>
          </w:p>
        </w:tc>
        <w:tc>
          <w:tcPr>
            <w:tcW w:w="5000" w:type="dxa"/>
            <w:tcBorders>
              <w:bottom w:val="single" w:color="3182ce" w:sz="6"/>
            </w:tcBorders>
            <w:shd w:val="clear" w:fill="e2e8f0"/>
            <w:vAlign w:val="center"/>
          </w:tcPr>
          <w:p>
            <w:pPr>
              <w:spacing w:before="0" w:after="0"/>
              <w:jc w:val="left"/>
            </w:pPr>
            <w:r>
              <w:rPr>
                <w:b/>
                <w:color w:val="1a202c"/>
                <w:sz w:val="21"/>
              </w:rPr>
              <w:t>Amount (GBP)</w:t>
            </w:r>
          </w:p>
        </w:tc>
      </w:tr>
      <w:tr>
        <w:tc>
          <w:tcPr>
            <w:tcW w:w="5000" w:type="dxa"/>
            <w:vAlign w:val="center"/>
          </w:tcPr>
          <w:p>
            <w:pPr>
              <w:spacing w:before="0" w:after="0"/>
              <w:jc w:val="left"/>
            </w:pPr>
            <w:r>
              <w:rPr>
                <w:color w:val="1a202c"/>
                <w:sz w:val="21"/>
              </w:rPr>
              <w:t>Events and Production</w:t>
            </w:r>
          </w:p>
        </w:tc>
        <w:tc>
          <w:tcPr>
            <w:tcW w:w="5000" w:type="dxa"/>
            <w:vAlign w:val="center"/>
          </w:tcPr>
          <w:p>
            <w:pPr>
              <w:spacing w:before="0" w:after="0"/>
              <w:jc w:val="left"/>
            </w:pPr>
            <w:r>
              <w:rPr>
                <w:color w:val="1a202c"/>
                <w:sz w:val="21"/>
              </w:rPr>
              <w:t>420,000</w:t>
            </w:r>
          </w:p>
        </w:tc>
      </w:tr>
      <w:tr>
        <w:tc>
          <w:tcPr>
            <w:tcW w:w="5000" w:type="dxa"/>
            <w:vAlign w:val="center"/>
          </w:tcPr>
          <w:p>
            <w:pPr>
              <w:spacing w:before="0" w:after="0"/>
              <w:jc w:val="left"/>
            </w:pPr>
            <w:r>
              <w:rPr>
                <w:color w:val="1a202c"/>
                <w:sz w:val="21"/>
              </w:rPr>
              <w:t>Expanded Operations Team</w:t>
            </w:r>
          </w:p>
        </w:tc>
        <w:tc>
          <w:tcPr>
            <w:tcW w:w="5000" w:type="dxa"/>
            <w:vAlign w:val="center"/>
          </w:tcPr>
          <w:p>
            <w:pPr>
              <w:spacing w:before="0" w:after="0"/>
              <w:jc w:val="left"/>
            </w:pPr>
            <w:r>
              <w:rPr>
                <w:color w:val="1a202c"/>
                <w:sz w:val="21"/>
              </w:rPr>
              <w:t>700,000</w:t>
            </w:r>
          </w:p>
        </w:tc>
      </w:tr>
      <w:tr>
        <w:tc>
          <w:tcPr>
            <w:tcW w:w="5000" w:type="dxa"/>
            <w:vAlign w:val="center"/>
          </w:tcPr>
          <w:p>
            <w:pPr>
              <w:spacing w:before="0" w:after="0"/>
              <w:jc w:val="left"/>
            </w:pPr>
            <w:r>
              <w:rPr>
                <w:color w:val="1a202c"/>
                <w:sz w:val="21"/>
              </w:rPr>
              <w:t>Platform Scaling</w:t>
            </w:r>
          </w:p>
        </w:tc>
        <w:tc>
          <w:tcPr>
            <w:tcW w:w="5000" w:type="dxa"/>
            <w:vAlign w:val="center"/>
          </w:tcPr>
          <w:p>
            <w:pPr>
              <w:spacing w:before="0" w:after="0"/>
              <w:jc w:val="left"/>
            </w:pPr>
            <w:r>
              <w:rPr>
                <w:color w:val="1a202c"/>
                <w:sz w:val="21"/>
              </w:rPr>
              <w:t>280,000</w:t>
            </w:r>
          </w:p>
        </w:tc>
      </w:tr>
      <w:tr>
        <w:tc>
          <w:tcPr>
            <w:tcW w:w="5000" w:type="dxa"/>
            <w:vAlign w:val="center"/>
          </w:tcPr>
          <w:p>
            <w:pPr>
              <w:spacing w:before="0" w:after="0"/>
              <w:jc w:val="left"/>
            </w:pPr>
            <w:r>
              <w:rPr>
                <w:color w:val="1a202c"/>
                <w:sz w:val="21"/>
              </w:rPr>
              <w:t>Marketing and PR</w:t>
            </w:r>
          </w:p>
        </w:tc>
        <w:tc>
          <w:tcPr>
            <w:tcW w:w="5000" w:type="dxa"/>
            <w:vAlign w:val="center"/>
          </w:tcPr>
          <w:p>
            <w:pPr>
              <w:spacing w:before="0" w:after="0"/>
              <w:jc w:val="left"/>
            </w:pPr>
            <w:r>
              <w:rPr>
                <w:color w:val="1a202c"/>
                <w:sz w:val="21"/>
              </w:rPr>
              <w:t>350,000</w:t>
            </w:r>
          </w:p>
        </w:tc>
      </w:tr>
      <w:tr>
        <w:tc>
          <w:tcPr>
            <w:tcW w:w="5000" w:type="dxa"/>
            <w:vAlign w:val="center"/>
          </w:tcPr>
          <w:p>
            <w:pPr>
              <w:spacing w:before="0" w:after="0"/>
              <w:jc w:val="left"/>
            </w:pPr>
            <w:r>
              <w:rPr>
                <w:color w:val="1a202c"/>
                <w:sz w:val="21"/>
              </w:rPr>
              <w:t>Legal and Compliance</w:t>
            </w:r>
          </w:p>
        </w:tc>
        <w:tc>
          <w:tcPr>
            <w:tcW w:w="5000" w:type="dxa"/>
            <w:vAlign w:val="center"/>
          </w:tcPr>
          <w:p>
            <w:pPr>
              <w:spacing w:before="0" w:after="0"/>
              <w:jc w:val="left"/>
            </w:pPr>
            <w:r>
              <w:rPr>
                <w:color w:val="1a202c"/>
                <w:sz w:val="21"/>
              </w:rPr>
              <w:t>175,000</w:t>
            </w:r>
          </w:p>
        </w:tc>
      </w:tr>
      <w:tr>
        <w:trPr>
          <w:tblHeader/>
          <w:trHeight w:val="400" w:hRule="atLeast"/>
        </w:trPr>
        <w:tc>
          <w:tcPr>
            <w:tcW w:w="5000" w:type="dxa"/>
            <w:tcBorders>
              <w:bottom w:val="single" w:color="3182ce" w:sz="6"/>
            </w:tcBorders>
            <w:shd w:val="clear" w:fill="e2e8f0"/>
            <w:vAlign w:val="center"/>
          </w:tcPr>
          <w:p>
            <w:pPr>
              <w:spacing w:before="0" w:after="0"/>
              <w:jc w:val="left"/>
            </w:pPr>
            <w:r>
              <w:rPr>
                <w:b/>
                <w:color w:val="1a202c"/>
                <w:sz w:val="21"/>
              </w:rPr>
              <w:t>Total Costs Y2</w:t>
            </w:r>
          </w:p>
        </w:tc>
        <w:tc>
          <w:tcPr>
            <w:tcW w:w="5000" w:type="dxa"/>
            <w:tcBorders>
              <w:bottom w:val="single" w:color="3182ce" w:sz="6"/>
            </w:tcBorders>
            <w:shd w:val="clear" w:fill="e2e8f0"/>
            <w:vAlign w:val="center"/>
          </w:tcPr>
          <w:p>
            <w:pPr>
              <w:spacing w:before="0" w:after="0"/>
              <w:jc w:val="left"/>
            </w:pPr>
            <w:r>
              <w:rPr>
                <w:b/>
                <w:color w:val="1a202c"/>
                <w:sz w:val="21"/>
              </w:rPr>
              <w:t>1,925,000</w:t>
            </w:r>
          </w:p>
        </w:tc>
      </w:tr>
    </w:tbl>
    <w:p>
      <w:r>
        <w:t>Year 2 Result:</w:t>
      </w:r>
    </w:p>
    <w:p>
      <w:pPr>
        <w:numPr>
          <w:ilvl w:val="0"/>
          <w:numId w:val="2"/>
        </w:numPr>
      </w:pPr>
      <w:r>
        <w:t>Operating Margin | ~77%</w:t>
      </w:r>
    </w:p>
    <w:p>
      <w:pPr>
        <w:numPr>
          <w:ilvl w:val="0"/>
          <w:numId w:val="2"/>
        </w:numPr>
      </w:pPr>
      <w:r>
        <w:t>Operating Profit | ~GBP 1.88M</w:t>
      </w:r>
    </w:p>
    <w:p>
      <w:pPr>
        <w:pStyle w:val="Heading2"/>
      </w:pPr>
      <w:r>
        <w:t>Year 3 Financial Model | Global Authority Stage</w:t>
      </w:r>
    </w:p>
    <w:p>
      <w:r>
        <w:t>Key Additions:</w:t>
      </w:r>
    </w:p>
    <w:p>
      <w:pPr>
        <w:numPr>
          <w:ilvl w:val="0"/>
          <w:numId w:val="2"/>
        </w:numPr>
      </w:pPr>
      <w:r>
        <w:t>50+ countries</w:t>
      </w:r>
    </w:p>
    <w:p>
      <w:pPr>
        <w:numPr>
          <w:ilvl w:val="0"/>
          <w:numId w:val="2"/>
        </w:numPr>
      </w:pPr>
      <w:r>
        <w:t>Licensed national editions</w:t>
      </w:r>
    </w:p>
    <w:p>
      <w:pPr>
        <w:numPr>
          <w:ilvl w:val="0"/>
          <w:numId w:val="2"/>
        </w:numPr>
      </w:pPr>
      <w:r>
        <w:t>R&amp;D and policy labs</w:t>
      </w:r>
    </w:p>
    <w:p>
      <w:pPr>
        <w:numPr>
          <w:ilvl w:val="0"/>
          <w:numId w:val="2"/>
        </w:numPr>
      </w:pPr>
      <w:r>
        <w:t>Documentary and education content scale</w:t>
      </w:r>
    </w:p>
    <w:p>
      <w:r>
        <w:t>Revenue Breakdown | Year 3</w:t>
      </w:r>
    </w:p>
    <w:tbl>
      <w:tblPr>
        <w:tblW w:w="5000" w:type="pct"/>
        <w:tblBorders>
          <w:top w:val="single" w:color="3182ce" w:sz="12"/>
          <w:left w:val="nil"/>
          <w:bottom w:val="single" w:color="3182ce" w:sz="12"/>
          <w:right w:val="nil"/>
          <w:insideH w:val="nil"/>
          <w:insideV w:val="nil"/>
        </w:tblBorders>
        <w:tblCellMar>
          <w:top w:w="100" w:type="dxa"/>
          <w:left w:w="150" w:type="dxa"/>
          <w:bottom w:w="100" w:type="dxa"/>
          <w:right w:w="150" w:type="dxa"/>
        </w:tblCellMar>
      </w:tblPr>
      <w:tblGrid>
        <w:gridCol w:w="5000"/>
        <w:gridCol w:w="5000"/>
      </w:tblGrid>
      <w:tr>
        <w:trPr>
          <w:tblHeader/>
          <w:trHeight w:val="400" w:hRule="atLeast"/>
        </w:trPr>
        <w:tc>
          <w:tcPr>
            <w:tcW w:w="5000" w:type="dxa"/>
            <w:tcBorders>
              <w:bottom w:val="single" w:color="3182ce" w:sz="6"/>
            </w:tcBorders>
            <w:shd w:val="clear" w:fill="e2e8f0"/>
            <w:vAlign w:val="center"/>
          </w:tcPr>
          <w:p>
            <w:pPr>
              <w:spacing w:before="0" w:after="0"/>
              <w:jc w:val="left"/>
            </w:pPr>
            <w:r>
              <w:rPr>
                <w:b/>
                <w:color w:val="1a202c"/>
                <w:sz w:val="21"/>
              </w:rPr>
              <w:t>Revenue Stream</w:t>
            </w:r>
          </w:p>
        </w:tc>
        <w:tc>
          <w:tcPr>
            <w:tcW w:w="5000" w:type="dxa"/>
            <w:tcBorders>
              <w:bottom w:val="single" w:color="3182ce" w:sz="6"/>
            </w:tcBorders>
            <w:shd w:val="clear" w:fill="e2e8f0"/>
            <w:vAlign w:val="center"/>
          </w:tcPr>
          <w:p>
            <w:pPr>
              <w:spacing w:before="0" w:after="0"/>
              <w:jc w:val="left"/>
            </w:pPr>
            <w:r>
              <w:rPr>
                <w:b/>
                <w:color w:val="1a202c"/>
                <w:sz w:val="21"/>
              </w:rPr>
              <w:t>Amount (GBP)</w:t>
            </w:r>
          </w:p>
        </w:tc>
      </w:tr>
      <w:tr>
        <w:tc>
          <w:tcPr>
            <w:tcW w:w="5000" w:type="dxa"/>
            <w:vAlign w:val="center"/>
          </w:tcPr>
          <w:p>
            <w:pPr>
              <w:spacing w:before="0" w:after="0"/>
              <w:jc w:val="left"/>
            </w:pPr>
            <w:r>
              <w:rPr>
                <w:color w:val="1a202c"/>
                <w:sz w:val="21"/>
              </w:rPr>
              <w:t>Global Title Sponsor</w:t>
            </w:r>
          </w:p>
        </w:tc>
        <w:tc>
          <w:tcPr>
            <w:tcW w:w="5000" w:type="dxa"/>
            <w:vAlign w:val="center"/>
          </w:tcPr>
          <w:p>
            <w:pPr>
              <w:spacing w:before="0" w:after="0"/>
              <w:jc w:val="left"/>
            </w:pPr>
            <w:r>
              <w:rPr>
                <w:color w:val="1a202c"/>
                <w:sz w:val="21"/>
              </w:rPr>
              <w:t>500,000</w:t>
            </w:r>
          </w:p>
        </w:tc>
      </w:tr>
      <w:tr>
        <w:tc>
          <w:tcPr>
            <w:tcW w:w="5000" w:type="dxa"/>
            <w:vAlign w:val="center"/>
          </w:tcPr>
          <w:p>
            <w:pPr>
              <w:spacing w:before="0" w:after="0"/>
              <w:jc w:val="left"/>
            </w:pPr>
            <w:r>
              <w:rPr>
                <w:color w:val="1a202c"/>
                <w:sz w:val="21"/>
              </w:rPr>
              <w:t>Global Strategic Sponsors</w:t>
            </w:r>
          </w:p>
        </w:tc>
        <w:tc>
          <w:tcPr>
            <w:tcW w:w="5000" w:type="dxa"/>
            <w:vAlign w:val="center"/>
          </w:tcPr>
          <w:p>
            <w:pPr>
              <w:spacing w:before="0" w:after="0"/>
              <w:jc w:val="left"/>
            </w:pPr>
            <w:r>
              <w:rPr>
                <w:color w:val="1a202c"/>
                <w:sz w:val="21"/>
              </w:rPr>
              <w:t>400,000</w:t>
            </w:r>
          </w:p>
        </w:tc>
      </w:tr>
      <w:tr>
        <w:tc>
          <w:tcPr>
            <w:tcW w:w="5000" w:type="dxa"/>
            <w:vAlign w:val="center"/>
          </w:tcPr>
          <w:p>
            <w:pPr>
              <w:spacing w:before="0" w:after="0"/>
              <w:jc w:val="left"/>
            </w:pPr>
            <w:r>
              <w:rPr>
                <w:color w:val="1a202c"/>
                <w:sz w:val="21"/>
              </w:rPr>
              <w:t>Continental Sponsors (5 x GBP 120k)</w:t>
            </w:r>
          </w:p>
        </w:tc>
        <w:tc>
          <w:tcPr>
            <w:tcW w:w="5000" w:type="dxa"/>
            <w:vAlign w:val="center"/>
          </w:tcPr>
          <w:p>
            <w:pPr>
              <w:spacing w:before="0" w:after="0"/>
              <w:jc w:val="left"/>
            </w:pPr>
            <w:r>
              <w:rPr>
                <w:color w:val="1a202c"/>
                <w:sz w:val="21"/>
              </w:rPr>
              <w:t>600,000</w:t>
            </w:r>
          </w:p>
        </w:tc>
      </w:tr>
      <w:tr>
        <w:tc>
          <w:tcPr>
            <w:tcW w:w="5000" w:type="dxa"/>
            <w:vAlign w:val="center"/>
          </w:tcPr>
          <w:p>
            <w:pPr>
              <w:spacing w:before="0" w:after="0"/>
              <w:jc w:val="left"/>
            </w:pPr>
            <w:r>
              <w:rPr>
                <w:color w:val="1a202c"/>
                <w:sz w:val="21"/>
              </w:rPr>
              <w:t>Country Sponsors (50 x GBP 25k)</w:t>
            </w:r>
          </w:p>
        </w:tc>
        <w:tc>
          <w:tcPr>
            <w:tcW w:w="5000" w:type="dxa"/>
            <w:vAlign w:val="center"/>
          </w:tcPr>
          <w:p>
            <w:pPr>
              <w:spacing w:before="0" w:after="0"/>
              <w:jc w:val="left"/>
            </w:pPr>
            <w:r>
              <w:rPr>
                <w:color w:val="1a202c"/>
                <w:sz w:val="21"/>
              </w:rPr>
              <w:t>1,250,000</w:t>
            </w:r>
          </w:p>
        </w:tc>
      </w:tr>
      <w:tr>
        <w:tc>
          <w:tcPr>
            <w:tcW w:w="5000" w:type="dxa"/>
            <w:vAlign w:val="center"/>
          </w:tcPr>
          <w:p>
            <w:pPr>
              <w:spacing w:before="0" w:after="0"/>
              <w:jc w:val="left"/>
            </w:pPr>
            <w:r>
              <w:rPr>
                <w:color w:val="1a202c"/>
                <w:sz w:val="21"/>
              </w:rPr>
              <w:t>Broadcast and Media Rights</w:t>
            </w:r>
          </w:p>
        </w:tc>
        <w:tc>
          <w:tcPr>
            <w:tcW w:w="5000" w:type="dxa"/>
            <w:vAlign w:val="center"/>
          </w:tcPr>
          <w:p>
            <w:pPr>
              <w:spacing w:before="0" w:after="0"/>
              <w:jc w:val="left"/>
            </w:pPr>
            <w:r>
              <w:rPr>
                <w:color w:val="1a202c"/>
                <w:sz w:val="21"/>
              </w:rPr>
              <w:t>300,000</w:t>
            </w:r>
          </w:p>
        </w:tc>
      </w:tr>
      <w:tr>
        <w:tc>
          <w:tcPr>
            <w:tcW w:w="5000" w:type="dxa"/>
            <w:vAlign w:val="center"/>
          </w:tcPr>
          <w:p>
            <w:pPr>
              <w:spacing w:before="0" w:after="0"/>
              <w:jc w:val="left"/>
            </w:pPr>
            <w:r>
              <w:rPr>
                <w:color w:val="1a202c"/>
                <w:sz w:val="21"/>
              </w:rPr>
              <w:t>Talent and Data Licensing</w:t>
            </w:r>
          </w:p>
        </w:tc>
        <w:tc>
          <w:tcPr>
            <w:tcW w:w="5000" w:type="dxa"/>
            <w:vAlign w:val="center"/>
          </w:tcPr>
          <w:p>
            <w:pPr>
              <w:spacing w:before="0" w:after="0"/>
              <w:jc w:val="left"/>
            </w:pPr>
            <w:r>
              <w:rPr>
                <w:color w:val="1a202c"/>
                <w:sz w:val="21"/>
              </w:rPr>
              <w:t>500,000</w:t>
            </w:r>
          </w:p>
        </w:tc>
      </w:tr>
      <w:tr>
        <w:tc>
          <w:tcPr>
            <w:tcW w:w="5000" w:type="dxa"/>
            <w:vAlign w:val="center"/>
          </w:tcPr>
          <w:p>
            <w:pPr>
              <w:spacing w:before="0" w:after="0"/>
              <w:jc w:val="left"/>
            </w:pPr>
            <w:r>
              <w:rPr>
                <w:color w:val="1a202c"/>
                <w:sz w:val="21"/>
              </w:rPr>
              <w:t>Startup Ecosystem and Carry</w:t>
            </w:r>
          </w:p>
        </w:tc>
        <w:tc>
          <w:tcPr>
            <w:tcW w:w="5000" w:type="dxa"/>
            <w:vAlign w:val="center"/>
          </w:tcPr>
          <w:p>
            <w:pPr>
              <w:spacing w:before="0" w:after="0"/>
              <w:jc w:val="left"/>
            </w:pPr>
            <w:r>
              <w:rPr>
                <w:color w:val="1a202c"/>
                <w:sz w:val="21"/>
              </w:rPr>
              <w:t>350,000</w:t>
            </w:r>
          </w:p>
        </w:tc>
      </w:tr>
      <w:tr>
        <w:tc>
          <w:tcPr>
            <w:tcW w:w="5000" w:type="dxa"/>
            <w:vAlign w:val="center"/>
          </w:tcPr>
          <w:p>
            <w:pPr>
              <w:spacing w:before="0" w:after="0"/>
              <w:jc w:val="left"/>
            </w:pPr>
            <w:r>
              <w:rPr>
                <w:color w:val="1a202c"/>
                <w:sz w:val="21"/>
              </w:rPr>
              <w:t>Global AI Institute</w:t>
            </w:r>
          </w:p>
        </w:tc>
        <w:tc>
          <w:tcPr>
            <w:tcW w:w="5000" w:type="dxa"/>
            <w:vAlign w:val="center"/>
          </w:tcPr>
          <w:p>
            <w:pPr>
              <w:spacing w:before="0" w:after="0"/>
              <w:jc w:val="left"/>
            </w:pPr>
            <w:r>
              <w:rPr>
                <w:color w:val="1a202c"/>
                <w:sz w:val="21"/>
              </w:rPr>
              <w:t>750,000</w:t>
            </w:r>
          </w:p>
        </w:tc>
      </w:tr>
      <w:tr>
        <w:tc>
          <w:tcPr>
            <w:tcW w:w="5000" w:type="dxa"/>
            <w:vAlign w:val="center"/>
          </w:tcPr>
          <w:p>
            <w:pPr>
              <w:spacing w:before="0" w:after="0"/>
              <w:jc w:val="left"/>
            </w:pPr>
            <w:r>
              <w:rPr>
                <w:color w:val="1a202c"/>
                <w:sz w:val="21"/>
              </w:rPr>
              <w:t>R&amp;D and Policy Labs</w:t>
            </w:r>
          </w:p>
        </w:tc>
        <w:tc>
          <w:tcPr>
            <w:tcW w:w="5000" w:type="dxa"/>
            <w:vAlign w:val="center"/>
          </w:tcPr>
          <w:p>
            <w:pPr>
              <w:spacing w:before="0" w:after="0"/>
              <w:jc w:val="left"/>
            </w:pPr>
            <w:r>
              <w:rPr>
                <w:color w:val="1a202c"/>
                <w:sz w:val="21"/>
              </w:rPr>
              <w:t>300,000</w:t>
            </w:r>
          </w:p>
        </w:tc>
      </w:tr>
      <w:tr>
        <w:trPr>
          <w:tblHeader/>
          <w:trHeight w:val="400" w:hRule="atLeast"/>
        </w:trPr>
        <w:tc>
          <w:tcPr>
            <w:tcW w:w="5000" w:type="dxa"/>
            <w:tcBorders>
              <w:bottom w:val="single" w:color="3182ce" w:sz="6"/>
            </w:tcBorders>
            <w:shd w:val="clear" w:fill="e2e8f0"/>
            <w:vAlign w:val="center"/>
          </w:tcPr>
          <w:p>
            <w:pPr>
              <w:spacing w:before="0" w:after="0"/>
              <w:jc w:val="left"/>
            </w:pPr>
            <w:r>
              <w:rPr>
                <w:b/>
                <w:color w:val="1a202c"/>
                <w:sz w:val="21"/>
              </w:rPr>
              <w:t>Total Revenue Y3</w:t>
            </w:r>
          </w:p>
        </w:tc>
        <w:tc>
          <w:tcPr>
            <w:tcW w:w="5000" w:type="dxa"/>
            <w:tcBorders>
              <w:bottom w:val="single" w:color="3182ce" w:sz="6"/>
            </w:tcBorders>
            <w:shd w:val="clear" w:fill="e2e8f0"/>
            <w:vAlign w:val="center"/>
          </w:tcPr>
          <w:p>
            <w:pPr>
              <w:spacing w:before="0" w:after="0"/>
              <w:jc w:val="left"/>
            </w:pPr>
            <w:r>
              <w:rPr>
                <w:b/>
                <w:color w:val="1a202c"/>
                <w:sz w:val="21"/>
              </w:rPr>
              <w:t>4,950,000</w:t>
            </w:r>
          </w:p>
        </w:tc>
      </w:tr>
    </w:tbl>
    <w:p>
      <w:r>
        <w:t>Cost Breakdown | Year 3</w:t>
      </w:r>
    </w:p>
    <w:tbl>
      <w:tblPr>
        <w:tblW w:w="5000" w:type="pct"/>
        <w:tblBorders>
          <w:top w:val="single" w:color="3182ce" w:sz="12"/>
          <w:left w:val="nil"/>
          <w:bottom w:val="single" w:color="3182ce" w:sz="12"/>
          <w:right w:val="nil"/>
          <w:insideH w:val="nil"/>
          <w:insideV w:val="nil"/>
        </w:tblBorders>
        <w:tblCellMar>
          <w:top w:w="100" w:type="dxa"/>
          <w:left w:w="150" w:type="dxa"/>
          <w:bottom w:w="100" w:type="dxa"/>
          <w:right w:w="150" w:type="dxa"/>
        </w:tblCellMar>
      </w:tblPr>
      <w:tblGrid>
        <w:gridCol w:w="5000"/>
        <w:gridCol w:w="5000"/>
      </w:tblGrid>
      <w:tr>
        <w:trPr>
          <w:tblHeader/>
          <w:trHeight w:val="400" w:hRule="atLeast"/>
        </w:trPr>
        <w:tc>
          <w:tcPr>
            <w:tcW w:w="5000" w:type="dxa"/>
            <w:tcBorders>
              <w:bottom w:val="single" w:color="3182ce" w:sz="6"/>
            </w:tcBorders>
            <w:shd w:val="clear" w:fill="e2e8f0"/>
            <w:vAlign w:val="center"/>
          </w:tcPr>
          <w:p>
            <w:pPr>
              <w:spacing w:before="0" w:after="0"/>
              <w:jc w:val="left"/>
            </w:pPr>
            <w:r>
              <w:rPr>
                <w:b/>
                <w:color w:val="1a202c"/>
                <w:sz w:val="21"/>
              </w:rPr>
              <w:t>Cost Category</w:t>
            </w:r>
          </w:p>
        </w:tc>
        <w:tc>
          <w:tcPr>
            <w:tcW w:w="5000" w:type="dxa"/>
            <w:tcBorders>
              <w:bottom w:val="single" w:color="3182ce" w:sz="6"/>
            </w:tcBorders>
            <w:shd w:val="clear" w:fill="e2e8f0"/>
            <w:vAlign w:val="center"/>
          </w:tcPr>
          <w:p>
            <w:pPr>
              <w:spacing w:before="0" w:after="0"/>
              <w:jc w:val="left"/>
            </w:pPr>
            <w:r>
              <w:rPr>
                <w:b/>
                <w:color w:val="1a202c"/>
                <w:sz w:val="21"/>
              </w:rPr>
              <w:t>Amount (GBP)</w:t>
            </w:r>
          </w:p>
        </w:tc>
      </w:tr>
      <w:tr>
        <w:tc>
          <w:tcPr>
            <w:tcW w:w="5000" w:type="dxa"/>
            <w:vAlign w:val="center"/>
          </w:tcPr>
          <w:p>
            <w:pPr>
              <w:spacing w:before="0" w:after="0"/>
              <w:jc w:val="left"/>
            </w:pPr>
            <w:r>
              <w:rPr>
                <w:color w:val="1a202c"/>
                <w:sz w:val="21"/>
              </w:rPr>
              <w:t>Global Events and Finals</w:t>
            </w:r>
          </w:p>
        </w:tc>
        <w:tc>
          <w:tcPr>
            <w:tcW w:w="5000" w:type="dxa"/>
            <w:vAlign w:val="center"/>
          </w:tcPr>
          <w:p>
            <w:pPr>
              <w:spacing w:before="0" w:after="0"/>
              <w:jc w:val="left"/>
            </w:pPr>
            <w:r>
              <w:rPr>
                <w:color w:val="1a202c"/>
                <w:sz w:val="21"/>
              </w:rPr>
              <w:t>875,000</w:t>
            </w:r>
          </w:p>
        </w:tc>
      </w:tr>
      <w:tr>
        <w:tc>
          <w:tcPr>
            <w:tcW w:w="5000" w:type="dxa"/>
            <w:vAlign w:val="center"/>
          </w:tcPr>
          <w:p>
            <w:pPr>
              <w:spacing w:before="0" w:after="0"/>
              <w:jc w:val="left"/>
            </w:pPr>
            <w:r>
              <w:rPr>
                <w:color w:val="1a202c"/>
                <w:sz w:val="21"/>
              </w:rPr>
              <w:t>Full-Time Team and Ops</w:t>
            </w:r>
          </w:p>
        </w:tc>
        <w:tc>
          <w:tcPr>
            <w:tcW w:w="5000" w:type="dxa"/>
            <w:vAlign w:val="center"/>
          </w:tcPr>
          <w:p>
            <w:pPr>
              <w:spacing w:before="0" w:after="0"/>
              <w:jc w:val="left"/>
            </w:pPr>
            <w:r>
              <w:rPr>
                <w:color w:val="1a202c"/>
                <w:sz w:val="21"/>
              </w:rPr>
              <w:t>1,575,000</w:t>
            </w:r>
          </w:p>
        </w:tc>
      </w:tr>
      <w:tr>
        <w:tc>
          <w:tcPr>
            <w:tcW w:w="5000" w:type="dxa"/>
            <w:vAlign w:val="center"/>
          </w:tcPr>
          <w:p>
            <w:pPr>
              <w:spacing w:before="0" w:after="0"/>
              <w:jc w:val="left"/>
            </w:pPr>
            <w:r>
              <w:rPr>
                <w:color w:val="1a202c"/>
                <w:sz w:val="21"/>
              </w:rPr>
              <w:t>Platform and Security</w:t>
            </w:r>
          </w:p>
        </w:tc>
        <w:tc>
          <w:tcPr>
            <w:tcW w:w="5000" w:type="dxa"/>
            <w:vAlign w:val="center"/>
          </w:tcPr>
          <w:p>
            <w:pPr>
              <w:spacing w:before="0" w:after="0"/>
              <w:jc w:val="left"/>
            </w:pPr>
            <w:r>
              <w:rPr>
                <w:color w:val="1a202c"/>
                <w:sz w:val="21"/>
              </w:rPr>
              <w:t>525,000</w:t>
            </w:r>
          </w:p>
        </w:tc>
      </w:tr>
      <w:tr>
        <w:tc>
          <w:tcPr>
            <w:tcW w:w="5000" w:type="dxa"/>
            <w:vAlign w:val="center"/>
          </w:tcPr>
          <w:p>
            <w:pPr>
              <w:spacing w:before="0" w:after="0"/>
              <w:jc w:val="left"/>
            </w:pPr>
            <w:r>
              <w:rPr>
                <w:color w:val="1a202c"/>
                <w:sz w:val="21"/>
              </w:rPr>
              <w:t>Marketing, PR, Media</w:t>
            </w:r>
          </w:p>
        </w:tc>
        <w:tc>
          <w:tcPr>
            <w:tcW w:w="5000" w:type="dxa"/>
            <w:vAlign w:val="center"/>
          </w:tcPr>
          <w:p>
            <w:pPr>
              <w:spacing w:before="0" w:after="0"/>
              <w:jc w:val="left"/>
            </w:pPr>
            <w:r>
              <w:rPr>
                <w:color w:val="1a202c"/>
                <w:sz w:val="21"/>
              </w:rPr>
              <w:t>700,000</w:t>
            </w:r>
          </w:p>
        </w:tc>
      </w:tr>
      <w:tr>
        <w:tc>
          <w:tcPr>
            <w:tcW w:w="5000" w:type="dxa"/>
            <w:vAlign w:val="center"/>
          </w:tcPr>
          <w:p>
            <w:pPr>
              <w:spacing w:before="0" w:after="0"/>
              <w:jc w:val="left"/>
            </w:pPr>
            <w:r>
              <w:rPr>
                <w:color w:val="1a202c"/>
                <w:sz w:val="21"/>
              </w:rPr>
              <w:t>Governance and Compliance</w:t>
            </w:r>
          </w:p>
        </w:tc>
        <w:tc>
          <w:tcPr>
            <w:tcW w:w="5000" w:type="dxa"/>
            <w:vAlign w:val="center"/>
          </w:tcPr>
          <w:p>
            <w:pPr>
              <w:spacing w:before="0" w:after="0"/>
              <w:jc w:val="left"/>
            </w:pPr>
            <w:r>
              <w:rPr>
                <w:color w:val="1a202c"/>
                <w:sz w:val="21"/>
              </w:rPr>
              <w:t>525,000</w:t>
            </w:r>
          </w:p>
        </w:tc>
      </w:tr>
      <w:tr>
        <w:trPr>
          <w:tblHeader/>
          <w:trHeight w:val="400" w:hRule="atLeast"/>
        </w:trPr>
        <w:tc>
          <w:tcPr>
            <w:tcW w:w="5000" w:type="dxa"/>
            <w:tcBorders>
              <w:bottom w:val="single" w:color="3182ce" w:sz="6"/>
            </w:tcBorders>
            <w:shd w:val="clear" w:fill="e2e8f0"/>
            <w:vAlign w:val="center"/>
          </w:tcPr>
          <w:p>
            <w:pPr>
              <w:spacing w:before="0" w:after="0"/>
              <w:jc w:val="left"/>
            </w:pPr>
            <w:r>
              <w:rPr>
                <w:b/>
                <w:color w:val="1a202c"/>
                <w:sz w:val="21"/>
              </w:rPr>
              <w:t>Total Costs Y3</w:t>
            </w:r>
          </w:p>
        </w:tc>
        <w:tc>
          <w:tcPr>
            <w:tcW w:w="5000" w:type="dxa"/>
            <w:tcBorders>
              <w:bottom w:val="single" w:color="3182ce" w:sz="6"/>
            </w:tcBorders>
            <w:shd w:val="clear" w:fill="e2e8f0"/>
            <w:vAlign w:val="center"/>
          </w:tcPr>
          <w:p>
            <w:pPr>
              <w:spacing w:before="0" w:after="0"/>
              <w:jc w:val="left"/>
            </w:pPr>
            <w:r>
              <w:rPr>
                <w:b/>
                <w:color w:val="1a202c"/>
                <w:sz w:val="21"/>
              </w:rPr>
              <w:t>4,200,000</w:t>
            </w:r>
          </w:p>
        </w:tc>
      </w:tr>
    </w:tbl>
    <w:p>
      <w:r>
        <w:t>Year 3 Result:</w:t>
      </w:r>
    </w:p>
    <w:p>
      <w:pPr>
        <w:numPr>
          <w:ilvl w:val="0"/>
          <w:numId w:val="2"/>
        </w:numPr>
      </w:pPr>
      <w:r>
        <w:t>Operating Margin | ~76%</w:t>
      </w:r>
    </w:p>
    <w:p>
      <w:pPr>
        <w:numPr>
          <w:ilvl w:val="0"/>
          <w:numId w:val="2"/>
        </w:numPr>
      </w:pPr>
      <w:r>
        <w:t>Operating Profit | ~GBP 3.75M</w:t>
      </w:r>
    </w:p>
    <w:p>
      <w:pPr>
        <w:pStyle w:val="Heading2"/>
      </w:pPr>
      <w:r>
        <w:t>3-Year Cumulative View</w:t>
      </w:r>
    </w:p>
    <w:tbl>
      <w:tblPr>
        <w:tblW w:w="5000" w:type="pct"/>
        <w:tblBorders>
          <w:top w:val="single" w:color="3182ce" w:sz="12"/>
          <w:left w:val="nil"/>
          <w:bottom w:val="single" w:color="3182ce" w:sz="12"/>
          <w:right w:val="nil"/>
          <w:insideH w:val="nil"/>
          <w:insideV w:val="nil"/>
        </w:tblBorders>
        <w:tblCellMar>
          <w:top w:w="100" w:type="dxa"/>
          <w:left w:w="150" w:type="dxa"/>
          <w:bottom w:w="100" w:type="dxa"/>
          <w:right w:w="150" w:type="dxa"/>
        </w:tblCellMar>
      </w:tblPr>
      <w:tblGrid>
        <w:gridCol w:w="5000"/>
        <w:gridCol w:w="5000"/>
      </w:tblGrid>
      <w:tr>
        <w:trPr>
          <w:tblHeader/>
          <w:trHeight w:val="400" w:hRule="atLeast"/>
        </w:trPr>
        <w:tc>
          <w:tcPr>
            <w:tcW w:w="5000" w:type="dxa"/>
            <w:tcBorders>
              <w:bottom w:val="single" w:color="3182ce" w:sz="6"/>
            </w:tcBorders>
            <w:shd w:val="clear" w:fill="e2e8f0"/>
            <w:vAlign w:val="center"/>
          </w:tcPr>
          <w:p>
            <w:pPr>
              <w:spacing w:before="0" w:after="0"/>
              <w:jc w:val="left"/>
            </w:pPr>
            <w:r>
              <w:rPr>
                <w:b/>
                <w:color w:val="1a202c"/>
                <w:sz w:val="21"/>
              </w:rPr>
              <w:t>Metric</w:t>
            </w:r>
          </w:p>
        </w:tc>
        <w:tc>
          <w:tcPr>
            <w:tcW w:w="5000" w:type="dxa"/>
            <w:tcBorders>
              <w:bottom w:val="single" w:color="3182ce" w:sz="6"/>
            </w:tcBorders>
            <w:shd w:val="clear" w:fill="e2e8f0"/>
            <w:vAlign w:val="center"/>
          </w:tcPr>
          <w:p>
            <w:pPr>
              <w:spacing w:before="0" w:after="0"/>
              <w:jc w:val="left"/>
            </w:pPr>
            <w:r>
              <w:rPr>
                <w:b/>
                <w:color w:val="1a202c"/>
                <w:sz w:val="21"/>
              </w:rPr>
              <w:t>Value</w:t>
            </w:r>
          </w:p>
        </w:tc>
      </w:tr>
      <w:tr>
        <w:tc>
          <w:tcPr>
            <w:tcW w:w="5000" w:type="dxa"/>
            <w:vAlign w:val="center"/>
          </w:tcPr>
          <w:p>
            <w:pPr>
              <w:spacing w:before="0" w:after="0"/>
              <w:jc w:val="left"/>
            </w:pPr>
            <w:r>
              <w:rPr>
                <w:color w:val="1a202c"/>
                <w:sz w:val="21"/>
              </w:rPr>
              <w:t>Total Revenue (3 years)</w:t>
            </w:r>
          </w:p>
        </w:tc>
        <w:tc>
          <w:tcPr>
            <w:tcW w:w="5000" w:type="dxa"/>
            <w:vAlign w:val="center"/>
          </w:tcPr>
          <w:p>
            <w:pPr>
              <w:spacing w:before="0" w:after="0"/>
              <w:jc w:val="left"/>
            </w:pPr>
            <w:r>
              <w:rPr>
                <w:color w:val="1a202c"/>
                <w:sz w:val="21"/>
              </w:rPr>
              <w:t>GBP 8,385,000</w:t>
            </w:r>
          </w:p>
        </w:tc>
      </w:tr>
      <w:tr>
        <w:tc>
          <w:tcPr>
            <w:tcW w:w="5000" w:type="dxa"/>
            <w:vAlign w:val="center"/>
          </w:tcPr>
          <w:p>
            <w:pPr>
              <w:spacing w:before="0" w:after="0"/>
              <w:jc w:val="left"/>
            </w:pPr>
            <w:r>
              <w:rPr>
                <w:color w:val="1a202c"/>
                <w:sz w:val="21"/>
              </w:rPr>
              <w:t>Total Costs (3 years)</w:t>
            </w:r>
          </w:p>
        </w:tc>
        <w:tc>
          <w:tcPr>
            <w:tcW w:w="5000" w:type="dxa"/>
            <w:vAlign w:val="center"/>
          </w:tcPr>
          <w:p>
            <w:pPr>
              <w:spacing w:before="0" w:after="0"/>
              <w:jc w:val="left"/>
            </w:pPr>
            <w:r>
              <w:rPr>
                <w:color w:val="1a202c"/>
                <w:sz w:val="21"/>
              </w:rPr>
              <w:t>GBP 6,485,500</w:t>
            </w:r>
          </w:p>
        </w:tc>
      </w:tr>
      <w:tr>
        <w:tc>
          <w:tcPr>
            <w:tcW w:w="5000" w:type="dxa"/>
            <w:vAlign w:val="center"/>
          </w:tcPr>
          <w:p>
            <w:pPr>
              <w:spacing w:before="0" w:after="0"/>
              <w:jc w:val="left"/>
            </w:pPr>
            <w:r>
              <w:rPr>
                <w:color w:val="1a202c"/>
                <w:sz w:val="21"/>
              </w:rPr>
              <w:t>Cumulative Operating Profit</w:t>
            </w:r>
          </w:p>
        </w:tc>
        <w:tc>
          <w:tcPr>
            <w:tcW w:w="5000" w:type="dxa"/>
            <w:vAlign w:val="center"/>
          </w:tcPr>
          <w:p>
            <w:pPr>
              <w:spacing w:before="0" w:after="0"/>
              <w:jc w:val="left"/>
            </w:pPr>
            <w:r>
              <w:rPr>
                <w:color w:val="1a202c"/>
                <w:sz w:val="21"/>
              </w:rPr>
              <w:t>GBP 1,899,500</w:t>
            </w:r>
          </w:p>
        </w:tc>
      </w:tr>
    </w:tbl>
    <w:p>
      <w:r>
        <w:t>Valuation Logic:</w:t>
      </w:r>
    </w:p>
    <w:p>
      <w:pPr>
        <w:numPr>
          <w:ilvl w:val="0"/>
          <w:numId w:val="2"/>
        </w:numPr>
      </w:pPr>
      <w:r>
        <w:t>Platform + rights + institute multiple: 5x - 8x EBIT</w:t>
      </w:r>
    </w:p>
    <w:p>
      <w:pPr>
        <w:numPr>
          <w:ilvl w:val="0"/>
          <w:numId w:val="2"/>
        </w:numPr>
      </w:pPr>
      <w:r>
        <w:t>Year 3 EBIT ~GBP 3.75M</w:t>
      </w:r>
    </w:p>
    <w:p>
      <w:pPr>
        <w:numPr>
          <w:ilvl w:val="0"/>
          <w:numId w:val="2"/>
        </w:numPr>
      </w:pPr>
      <w:r>
        <w:t>Implied valuation: GBP 18M - GBP 30M</w:t>
      </w:r>
    </w:p>
    <w:p>
      <w:r>
        <w:br w:type="page"/>
      </w:r>
    </w:p>
    <w:p>
      <w:pPr>
        <w:pStyle w:val="Heading1"/>
      </w:pPr>
      <w:bookmarkStart w:name="_Toc008" w:id="008"/>
      <w:r>
        <w:t>8. Use of Funds - GBP 350,000</w:t>
      </w:r>
      <w:bookmarkEnd w:id="008"/>
    </w:p>
    <w:p>
      <w:r>
        <w:t>Key Advantage: Brand identity, AI systems, competition platform, and technology infrastructure are fully supported internally by Britsync, significantly reducing investor risk. Capital is used only for global exposure, prestige, talent inclusion, and media &amp; broadcast readiness.</w:t>
      </w:r>
    </w:p>
    <w:p>
      <w:pPr>
        <w:pStyle w:val="Heading2"/>
      </w:pPr>
      <w:r>
        <w:t>1. Global Program Operations - GBP 42,000</w:t>
      </w:r>
    </w:p>
    <w:p>
      <w:pPr>
        <w:numPr>
          <w:ilvl w:val="0"/>
          <w:numId w:val="2"/>
        </w:numPr>
      </w:pPr>
      <w:r>
        <w:t>Central coordination &amp; governance</w:t>
      </w:r>
    </w:p>
    <w:p>
      <w:pPr>
        <w:numPr>
          <w:ilvl w:val="0"/>
          <w:numId w:val="2"/>
        </w:numPr>
      </w:pPr>
      <w:r>
        <w:t>University and country onboarding (expanded to 30 countries)</w:t>
      </w:r>
    </w:p>
    <w:p>
      <w:pPr>
        <w:numPr>
          <w:ilvl w:val="0"/>
          <w:numId w:val="2"/>
        </w:numPr>
      </w:pPr>
      <w:r>
        <w:t>Competition frameworks &amp; quality control</w:t>
      </w:r>
    </w:p>
    <w:p>
      <w:r>
        <w:t>Purpose: Ensure discipline, structure, and repeatability at scale.</w:t>
      </w:r>
    </w:p>
    <w:p>
      <w:pPr>
        <w:pStyle w:val="Heading2"/>
      </w:pPr>
      <w:r>
        <w:t>2. Global Marketing, Media &amp; PR - GBP 63,000</w:t>
      </w:r>
    </w:p>
    <w:p>
      <w:pPr>
        <w:numPr>
          <w:ilvl w:val="0"/>
          <w:numId w:val="2"/>
        </w:numPr>
      </w:pPr>
      <w:r>
        <w:t>Global digital campaigns across multiple channels</w:t>
      </w:r>
    </w:p>
    <w:p>
      <w:pPr>
        <w:numPr>
          <w:ilvl w:val="0"/>
          <w:numId w:val="2"/>
        </w:numPr>
      </w:pPr>
      <w:r>
        <w:t>Tech &amp; mainstream press outreach</w:t>
      </w:r>
    </w:p>
    <w:p>
      <w:pPr>
        <w:numPr>
          <w:ilvl w:val="0"/>
          <w:numId w:val="2"/>
        </w:numPr>
      </w:pPr>
      <w:r>
        <w:t>High-quality visual storytelling (AI art, trailers, reels)</w:t>
      </w:r>
    </w:p>
    <w:p>
      <w:pPr>
        <w:numPr>
          <w:ilvl w:val="0"/>
          <w:numId w:val="2"/>
        </w:numPr>
      </w:pPr>
      <w:r>
        <w:t>Influencer partnerships and social media campaigns</w:t>
      </w:r>
    </w:p>
    <w:p>
      <w:r>
        <w:t>Purpose: Position Global AI Olympiad as a world-class AI movement, not a niche event.</w:t>
      </w:r>
    </w:p>
    <w:p>
      <w:pPr>
        <w:pStyle w:val="Heading2"/>
      </w:pPr>
      <w:r>
        <w:t>3. Virtual Regional &amp; National Rounds - GBP 10,500</w:t>
      </w:r>
    </w:p>
    <w:p>
      <w:pPr>
        <w:numPr>
          <w:ilvl w:val="0"/>
          <w:numId w:val="2"/>
        </w:numPr>
      </w:pPr>
      <w:r>
        <w:t>Fully online competitions with enhanced platform</w:t>
      </w:r>
    </w:p>
    <w:p>
      <w:pPr>
        <w:numPr>
          <w:ilvl w:val="0"/>
          <w:numId w:val="2"/>
        </w:numPr>
      </w:pPr>
      <w:r>
        <w:t>Digital evaluation &amp; ranking systems</w:t>
      </w:r>
    </w:p>
    <w:p>
      <w:pPr>
        <w:numPr>
          <w:ilvl w:val="0"/>
          <w:numId w:val="2"/>
        </w:numPr>
      </w:pPr>
      <w:r>
        <w:t>Certificates, showcases, leaderboards</w:t>
      </w:r>
    </w:p>
    <w:p>
      <w:r>
        <w:t>Purpose: Mass participation at near-zero marginal cost.</w:t>
      </w:r>
    </w:p>
    <w:p>
      <w:pPr>
        <w:pStyle w:val="Heading2"/>
      </w:pPr>
      <w:r>
        <w:t>4. Mentors, Judges &amp; Global Experts - GBP 24,500</w:t>
      </w:r>
    </w:p>
    <w:p>
      <w:pPr>
        <w:numPr>
          <w:ilvl w:val="0"/>
          <w:numId w:val="2"/>
        </w:numPr>
      </w:pPr>
      <w:r>
        <w:t>International AI mentors (online) - expanded panel</w:t>
      </w:r>
    </w:p>
    <w:p>
      <w:pPr>
        <w:numPr>
          <w:ilvl w:val="0"/>
          <w:numId w:val="2"/>
        </w:numPr>
      </w:pPr>
      <w:r>
        <w:t>Judges and advisory board support</w:t>
      </w:r>
    </w:p>
    <w:p>
      <w:pPr>
        <w:numPr>
          <w:ilvl w:val="0"/>
          <w:numId w:val="2"/>
        </w:numPr>
      </w:pPr>
      <w:r>
        <w:t>Honorariums for top industry experts</w:t>
      </w:r>
    </w:p>
    <w:p>
      <w:r>
        <w:t>Purpose: Credibility without heavy logistics.</w:t>
      </w:r>
    </w:p>
    <w:p>
      <w:pPr>
        <w:pStyle w:val="Heading2"/>
      </w:pPr>
      <w:r>
        <w:t>5. London Grand Finale &amp; Global Gala - GBP 112,000</w:t>
      </w:r>
    </w:p>
    <w:p>
      <w:pPr>
        <w:numPr>
          <w:ilvl w:val="0"/>
          <w:numId w:val="2"/>
        </w:numPr>
      </w:pPr>
      <w:r>
        <w:t>Prestigious London venue (upgraded capacity)</w:t>
      </w:r>
    </w:p>
    <w:p>
      <w:pPr>
        <w:numPr>
          <w:ilvl w:val="0"/>
          <w:numId w:val="2"/>
        </w:numPr>
      </w:pPr>
      <w:r>
        <w:t>High-end stage, lighting, LED screens</w:t>
      </w:r>
    </w:p>
    <w:p>
      <w:pPr>
        <w:numPr>
          <w:ilvl w:val="0"/>
          <w:numId w:val="2"/>
        </w:numPr>
      </w:pPr>
      <w:r>
        <w:t>AI art &amp; innovation exhibition spaces</w:t>
      </w:r>
    </w:p>
    <w:p>
      <w:pPr>
        <w:numPr>
          <w:ilvl w:val="0"/>
          <w:numId w:val="2"/>
        </w:numPr>
      </w:pPr>
      <w:r>
        <w:t>Event production, security, and VIP hospitality</w:t>
      </w:r>
    </w:p>
    <w:p>
      <w:pPr>
        <w:numPr>
          <w:ilvl w:val="0"/>
          <w:numId w:val="2"/>
        </w:numPr>
      </w:pPr>
      <w:r>
        <w:t>Networking reception and gala dinner</w:t>
      </w:r>
    </w:p>
    <w:p>
      <w:r>
        <w:t>Purpose: Create a global flagship AI event comparable to top international forums.</w:t>
      </w:r>
    </w:p>
    <w:p>
      <w:pPr>
        <w:pStyle w:val="Heading2"/>
      </w:pPr>
      <w:r>
        <w:t>6. Finalist Travel &amp; Accommodation - GBP 56,000</w:t>
      </w:r>
    </w:p>
    <w:p>
      <w:pPr>
        <w:numPr>
          <w:ilvl w:val="0"/>
          <w:numId w:val="2"/>
        </w:numPr>
      </w:pPr>
      <w:r>
        <w:t>8 finalist teams (24 people) - expanded from 5 teams</w:t>
      </w:r>
    </w:p>
    <w:p>
      <w:pPr>
        <w:numPr>
          <w:ilvl w:val="0"/>
          <w:numId w:val="2"/>
        </w:numPr>
      </w:pPr>
      <w:r>
        <w:t>15 individual finalists - expanded from 10</w:t>
      </w:r>
    </w:p>
    <w:p>
      <w:pPr>
        <w:numPr>
          <w:ilvl w:val="0"/>
          <w:numId w:val="2"/>
        </w:numPr>
      </w:pPr>
      <w:r>
        <w:t>Flights, hotel, local transport for all finalists</w:t>
      </w:r>
    </w:p>
    <w:p>
      <w:pPr>
        <w:numPr>
          <w:ilvl w:val="0"/>
          <w:numId w:val="2"/>
        </w:numPr>
      </w:pPr>
      <w:r>
        <w:t>Travel insurance and contingency</w:t>
      </w:r>
    </w:p>
    <w:p>
      <w:r>
        <w:t>Purpose: True global inclusion and fairness with expanded participation.</w:t>
      </w:r>
    </w:p>
    <w:p>
      <w:pPr>
        <w:pStyle w:val="Heading2"/>
      </w:pPr>
      <w:r>
        <w:t>7. Broadcast &amp; Media Rights Setup - GBP 21,000</w:t>
      </w:r>
    </w:p>
    <w:p>
      <w:pPr>
        <w:numPr>
          <w:ilvl w:val="0"/>
          <w:numId w:val="2"/>
        </w:numPr>
      </w:pPr>
      <w:r>
        <w:t>Professional live streaming with multi-camera setup</w:t>
      </w:r>
    </w:p>
    <w:p>
      <w:pPr>
        <w:numPr>
          <w:ilvl w:val="0"/>
          <w:numId w:val="2"/>
        </w:numPr>
      </w:pPr>
      <w:r>
        <w:t>Recording &amp; broadcast packaging</w:t>
      </w:r>
    </w:p>
    <w:p>
      <w:pPr>
        <w:numPr>
          <w:ilvl w:val="0"/>
          <w:numId w:val="2"/>
        </w:numPr>
      </w:pPr>
      <w:r>
        <w:t>Highlight production and post-processing</w:t>
      </w:r>
    </w:p>
    <w:p>
      <w:pPr>
        <w:numPr>
          <w:ilvl w:val="0"/>
          <w:numId w:val="2"/>
        </w:numPr>
      </w:pPr>
      <w:r>
        <w:t>Distribution setup for content licensing</w:t>
      </w:r>
    </w:p>
    <w:p>
      <w:r>
        <w:t>Purpose: Turn the Olympiad into a media asset, not a cost center.</w:t>
      </w:r>
    </w:p>
    <w:p>
      <w:pPr>
        <w:pStyle w:val="Heading2"/>
      </w:pPr>
      <w:r>
        <w:t>8. Legal, Compliance &amp; Governance - GBP 10,500</w:t>
      </w:r>
    </w:p>
    <w:p>
      <w:pPr>
        <w:numPr>
          <w:ilvl w:val="0"/>
          <w:numId w:val="2"/>
        </w:numPr>
      </w:pPr>
      <w:r>
        <w:t>Event contracts and sponsor agreements</w:t>
      </w:r>
    </w:p>
    <w:p>
      <w:pPr>
        <w:numPr>
          <w:ilvl w:val="0"/>
          <w:numId w:val="2"/>
        </w:numPr>
      </w:pPr>
      <w:r>
        <w:t>GDPR &amp; AI ethics compliance</w:t>
      </w:r>
    </w:p>
    <w:p>
      <w:pPr>
        <w:numPr>
          <w:ilvl w:val="0"/>
          <w:numId w:val="2"/>
        </w:numPr>
      </w:pPr>
      <w:r>
        <w:t>IP &amp; broadcast rights protection</w:t>
      </w:r>
    </w:p>
    <w:p>
      <w:r>
        <w:t>Purpose: Protect the organization and enable scaling.</w:t>
      </w:r>
    </w:p>
    <w:p>
      <w:pPr>
        <w:pStyle w:val="Heading2"/>
      </w:pPr>
      <w:r>
        <w:t>9. Contingency &amp; Strategic Buffer - GBP 10,500</w:t>
      </w:r>
    </w:p>
    <w:p>
      <w:r>
        <w:t>Purpose: Handle unexpected costs and opportunities.</w:t>
      </w:r>
    </w:p>
    <w:p>
      <w:pPr>
        <w:spacing w:before="200"/>
      </w:pPr>
      <w:r>
        <w:rPr>
          <w:b/>
          <w:color w:val="3182ce"/>
        </w:rPr>
        <w:t>Total Capital Deployment: GBP 350,000</w:t>
      </w:r>
    </w:p>
    <w:p>
      <w:r>
        <w:br w:type="page"/>
      </w:r>
    </w:p>
    <w:p>
      <w:pPr>
        <w:pStyle w:val="Heading1"/>
      </w:pPr>
      <w:bookmarkStart w:name="_Toc009" w:id="009"/>
      <w:r>
        <w:t>9. Risk and Mitigation Framework</w:t>
      </w:r>
      <w:bookmarkEnd w:id="009"/>
    </w:p>
    <w:p>
      <w:pPr>
        <w:pStyle w:val="Heading2"/>
      </w:pPr>
      <w:r>
        <w:t>9.1 Strategic Risks</w:t>
      </w:r>
    </w:p>
    <w:p>
      <w:r>
        <w:rPr>
          <w:b/>
        </w:rPr>
        <w:t>Risk: Over-reliance on Sponsorship Revenue</w:t>
      </w:r>
    </w:p>
    <w:p>
      <w:r>
        <w:t>If sponsorship uptake is slower than projected, cash flow pressure may appear.</w:t>
      </w:r>
    </w:p>
    <w:p>
      <w:r>
        <w:rPr>
          <w:b/>
        </w:rPr>
        <w:t>Mitigation:</w:t>
      </w:r>
    </w:p>
    <w:p>
      <w:pPr>
        <w:numPr>
          <w:ilvl w:val="0"/>
          <w:numId w:val="2"/>
        </w:numPr>
      </w:pPr>
      <w:r>
        <w:t>Multi-layer revenue model (participation fees, licensing, broadcast, talent access)</w:t>
      </w:r>
    </w:p>
    <w:p>
      <w:pPr>
        <w:numPr>
          <w:ilvl w:val="0"/>
          <w:numId w:val="2"/>
        </w:numPr>
      </w:pPr>
      <w:r>
        <w:t>Long-term sponsorship contracts (3 to 5 years) for title and continental partners</w:t>
      </w:r>
    </w:p>
    <w:p>
      <w:pPr>
        <w:numPr>
          <w:ilvl w:val="0"/>
          <w:numId w:val="2"/>
        </w:numPr>
      </w:pPr>
      <w:r>
        <w:t>Early locking of anchor partners before public launch</w:t>
      </w:r>
    </w:p>
    <w:p>
      <w:r>
        <w:rPr>
          <w:b/>
        </w:rPr>
        <w:t>Risk: Perception as an "Event Company"</w:t>
      </w:r>
    </w:p>
    <w:p>
      <w:r>
        <w:t>Investors may misclassify the platform as a one-off competition.</w:t>
      </w:r>
    </w:p>
    <w:p>
      <w:r>
        <w:rPr>
          <w:b/>
        </w:rPr>
        <w:t>Mitigation:</w:t>
      </w:r>
    </w:p>
    <w:p>
      <w:pPr>
        <w:numPr>
          <w:ilvl w:val="0"/>
          <w:numId w:val="2"/>
        </w:numPr>
      </w:pPr>
      <w:r>
        <w:t>Clear positioning as a rights-owning global IP platform</w:t>
      </w:r>
    </w:p>
    <w:p>
      <w:pPr>
        <w:numPr>
          <w:ilvl w:val="0"/>
          <w:numId w:val="2"/>
        </w:numPr>
      </w:pPr>
      <w:r>
        <w:t>Separate branding for: Olympiad (competition), Institute (education), Startup ecosystem (investment pipeline)</w:t>
      </w:r>
    </w:p>
    <w:p>
      <w:pPr>
        <w:numPr>
          <w:ilvl w:val="0"/>
          <w:numId w:val="2"/>
        </w:numPr>
      </w:pPr>
      <w:r>
        <w:t>Financial reporting structured around IP and licensing revenue, not ticket sales</w:t>
      </w:r>
    </w:p>
    <w:p>
      <w:pPr>
        <w:pStyle w:val="Heading2"/>
      </w:pPr>
      <w:r>
        <w:t>9.2 Political and Institutional Risks</w:t>
      </w:r>
    </w:p>
    <w:p>
      <w:r>
        <w:rPr>
          <w:b/>
        </w:rPr>
        <w:t>Risk: Ministry endorsement delays or refusal</w:t>
      </w:r>
    </w:p>
    <w:p>
      <w:r>
        <w:t>Some ministries may be slow or cautious.</w:t>
      </w:r>
    </w:p>
    <w:p>
      <w:r>
        <w:rPr>
          <w:b/>
        </w:rPr>
        <w:t>Mitigation:</w:t>
      </w:r>
    </w:p>
    <w:p>
      <w:pPr>
        <w:numPr>
          <w:ilvl w:val="0"/>
          <w:numId w:val="2"/>
        </w:numPr>
      </w:pPr>
      <w:r>
        <w:t>Validation-based endorsement model, not operational dependency</w:t>
      </w:r>
    </w:p>
    <w:p>
      <w:pPr>
        <w:numPr>
          <w:ilvl w:val="0"/>
          <w:numId w:val="2"/>
        </w:numPr>
      </w:pPr>
      <w:r>
        <w:t>Multiple ministries per region to avoid single-point failure</w:t>
      </w:r>
    </w:p>
    <w:p>
      <w:pPr>
        <w:numPr>
          <w:ilvl w:val="0"/>
          <w:numId w:val="2"/>
        </w:numPr>
      </w:pPr>
      <w:r>
        <w:t>Use universities and academic councils as parallel legitimacy channels</w:t>
      </w:r>
    </w:p>
    <w:p>
      <w:r>
        <w:rPr>
          <w:b/>
        </w:rPr>
        <w:t>Risk: Geopolitical sensitivity across countries</w:t>
      </w:r>
    </w:p>
    <w:p>
      <w:r>
        <w:t>AI governance is politically sensitive.</w:t>
      </w:r>
    </w:p>
    <w:p>
      <w:r>
        <w:rPr>
          <w:b/>
        </w:rPr>
        <w:t>Mitigation:</w:t>
      </w:r>
    </w:p>
    <w:p>
      <w:pPr>
        <w:numPr>
          <w:ilvl w:val="0"/>
          <w:numId w:val="2"/>
        </w:numPr>
      </w:pPr>
      <w:r>
        <w:t>Neutral positioning with UK-based global coordination</w:t>
      </w:r>
    </w:p>
    <w:p>
      <w:pPr>
        <w:numPr>
          <w:ilvl w:val="0"/>
          <w:numId w:val="2"/>
        </w:numPr>
      </w:pPr>
      <w:r>
        <w:t>Clear ethics and non-alignment policy</w:t>
      </w:r>
    </w:p>
    <w:p>
      <w:pPr>
        <w:numPr>
          <w:ilvl w:val="0"/>
          <w:numId w:val="2"/>
        </w:numPr>
      </w:pPr>
      <w:r>
        <w:t>Avoid military, surveillance, or politically sensitive AI challenges</w:t>
      </w:r>
    </w:p>
    <w:p>
      <w:pPr>
        <w:pStyle w:val="Heading2"/>
      </w:pPr>
      <w:r>
        <w:t>9.3 Legal and Brand Risks</w:t>
      </w:r>
    </w:p>
    <w:p>
      <w:r>
        <w:rPr>
          <w:b/>
        </w:rPr>
        <w:t>Risk: "Olympiad" or branding conflicts</w:t>
      </w:r>
    </w:p>
    <w:p>
      <w:r>
        <w:t>Potential confusion with Olympic institutions.</w:t>
      </w:r>
    </w:p>
    <w:p>
      <w:r>
        <w:rPr>
          <w:b/>
        </w:rPr>
        <w:t>Mitigation:</w:t>
      </w:r>
    </w:p>
    <w:p>
      <w:pPr>
        <w:numPr>
          <w:ilvl w:val="0"/>
          <w:numId w:val="2"/>
        </w:numPr>
      </w:pPr>
      <w:r>
        <w:t>Explicit disclaimer of no affiliation</w:t>
      </w:r>
    </w:p>
    <w:p>
      <w:pPr>
        <w:numPr>
          <w:ilvl w:val="0"/>
          <w:numId w:val="2"/>
        </w:numPr>
      </w:pPr>
      <w:r>
        <w:t>Distinct visual identity and terminology</w:t>
      </w:r>
    </w:p>
    <w:p>
      <w:pPr>
        <w:numPr>
          <w:ilvl w:val="0"/>
          <w:numId w:val="2"/>
        </w:numPr>
      </w:pPr>
      <w:r>
        <w:t>Legal naming checks before scale expansion</w:t>
      </w:r>
    </w:p>
    <w:p>
      <w:pPr>
        <w:numPr>
          <w:ilvl w:val="0"/>
          <w:numId w:val="2"/>
        </w:numPr>
      </w:pPr>
      <w:r>
        <w:t>Use "Global AI Olympiad | Independent Platform" consistently</w:t>
      </w:r>
    </w:p>
    <w:p>
      <w:pPr>
        <w:pStyle w:val="Heading2"/>
      </w:pPr>
      <w:r>
        <w:t>9.4 Operational Risks</w:t>
      </w:r>
    </w:p>
    <w:p>
      <w:r>
        <w:rPr>
          <w:b/>
        </w:rPr>
        <w:t>Risk: Scaling too fast</w:t>
      </w:r>
    </w:p>
    <w:p>
      <w:r>
        <w:t>Too many countries too early may dilute quality.</w:t>
      </w:r>
    </w:p>
    <w:p>
      <w:r>
        <w:rPr>
          <w:b/>
        </w:rPr>
        <w:t>Mitigation:</w:t>
      </w:r>
    </w:p>
    <w:p>
      <w:pPr>
        <w:numPr>
          <w:ilvl w:val="0"/>
          <w:numId w:val="2"/>
        </w:numPr>
      </w:pPr>
      <w:r>
        <w:t>Controlled country onboarding</w:t>
      </w:r>
    </w:p>
    <w:p>
      <w:pPr>
        <w:numPr>
          <w:ilvl w:val="0"/>
          <w:numId w:val="2"/>
        </w:numPr>
      </w:pPr>
      <w:r>
        <w:t>Annual cap on participating regions</w:t>
      </w:r>
    </w:p>
    <w:p>
      <w:pPr>
        <w:numPr>
          <w:ilvl w:val="0"/>
          <w:numId w:val="2"/>
        </w:numPr>
      </w:pPr>
      <w:r>
        <w:t>Quality metrics tied to continuation rights</w:t>
      </w:r>
    </w:p>
    <w:p>
      <w:pPr>
        <w:pStyle w:val="Heading2"/>
      </w:pPr>
      <w:r>
        <w:t>9.5 Financial Risks</w:t>
      </w:r>
    </w:p>
    <w:p>
      <w:r>
        <w:rPr>
          <w:b/>
        </w:rPr>
        <w:t>Risk: Cash flow timing mismatch</w:t>
      </w:r>
    </w:p>
    <w:p>
      <w:r>
        <w:t>Sponsorship receipts may lag expenses.</w:t>
      </w:r>
    </w:p>
    <w:p>
      <w:r>
        <w:rPr>
          <w:b/>
        </w:rPr>
        <w:t>Mitigation:</w:t>
      </w:r>
    </w:p>
    <w:p>
      <w:pPr>
        <w:numPr>
          <w:ilvl w:val="0"/>
          <w:numId w:val="2"/>
        </w:numPr>
      </w:pPr>
      <w:r>
        <w:t>Upfront sponsorship invoicing</w:t>
      </w:r>
    </w:p>
    <w:p>
      <w:pPr>
        <w:numPr>
          <w:ilvl w:val="0"/>
          <w:numId w:val="2"/>
        </w:numPr>
      </w:pPr>
      <w:r>
        <w:t>Milestone-based payments</w:t>
      </w:r>
    </w:p>
    <w:p>
      <w:pPr>
        <w:numPr>
          <w:ilvl w:val="0"/>
          <w:numId w:val="2"/>
        </w:numPr>
      </w:pPr>
      <w:r>
        <w:t>Conservative reserve policy</w:t>
      </w:r>
    </w:p>
    <w:p>
      <w:r>
        <w:br w:type="page"/>
      </w:r>
    </w:p>
    <w:p>
      <w:pPr>
        <w:pStyle w:val="Heading1"/>
      </w:pPr>
      <w:bookmarkStart w:name="_Toc010" w:id="010"/>
      <w:r>
        <w:t>10. Founding Partner Term Sheet</w:t>
      </w:r>
      <w:bookmarkEnd w:id="010"/>
    </w:p>
    <w:p>
      <w:r>
        <w:t>(GBP 350,000 Investment)</w:t>
      </w:r>
    </w:p>
    <w:p>
      <w:pPr>
        <w:pStyle w:val="Heading2"/>
      </w:pPr>
      <w:r>
        <w:t>10.1 Investment Overview</w:t>
      </w:r>
    </w:p>
    <w:p>
      <w:pPr>
        <w:numPr>
          <w:ilvl w:val="0"/>
          <w:numId w:val="2"/>
        </w:numPr>
      </w:pPr>
      <w:r>
        <w:t>Investment Amount | GBP 350,000</w:t>
      </w:r>
    </w:p>
    <w:p>
      <w:pPr>
        <w:numPr>
          <w:ilvl w:val="0"/>
          <w:numId w:val="2"/>
        </w:numPr>
      </w:pPr>
      <w:r>
        <w:t>Entity | Global AI Olympiad Ltd (UK)</w:t>
      </w:r>
    </w:p>
    <w:p>
      <w:pPr>
        <w:numPr>
          <w:ilvl w:val="0"/>
          <w:numId w:val="2"/>
        </w:numPr>
      </w:pPr>
      <w:r>
        <w:t>Stage | Founding Partner Round</w:t>
      </w:r>
    </w:p>
    <w:p>
      <w:pPr>
        <w:numPr>
          <w:ilvl w:val="0"/>
          <w:numId w:val="2"/>
        </w:numPr>
      </w:pPr>
      <w:r>
        <w:t>Use of Funds | Platform activation, global launch, London final, rights monetisation setup</w:t>
      </w:r>
    </w:p>
    <w:p>
      <w:pPr>
        <w:pStyle w:val="Heading2"/>
      </w:pPr>
      <w:r>
        <w:t>10.2 Investment Structure (Choose One)</w:t>
      </w:r>
    </w:p>
    <w:p>
      <w:r>
        <w:rPr>
          <w:b/>
        </w:rPr>
        <w:t>Option A | Equity-Based (Recommended)</w:t>
      </w:r>
    </w:p>
    <w:p>
      <w:pPr>
        <w:numPr>
          <w:ilvl w:val="0"/>
          <w:numId w:val="2"/>
        </w:numPr>
      </w:pPr>
      <w:r>
        <w:t>Equity Offered | 12.5 percent</w:t>
      </w:r>
    </w:p>
    <w:p>
      <w:pPr>
        <w:numPr>
          <w:ilvl w:val="0"/>
          <w:numId w:val="2"/>
        </w:numPr>
      </w:pPr>
      <w:r>
        <w:t>Valuation (Post-Money) | GBP 2,800,000</w:t>
      </w:r>
    </w:p>
    <w:p>
      <w:pPr>
        <w:numPr>
          <w:ilvl w:val="0"/>
          <w:numId w:val="2"/>
        </w:numPr>
      </w:pPr>
      <w:r>
        <w:t>Dilution Protection | Until Series A or equivalent</w:t>
      </w:r>
    </w:p>
    <w:p>
      <w:pPr>
        <w:numPr>
          <w:ilvl w:val="0"/>
          <w:numId w:val="2"/>
        </w:numPr>
      </w:pPr>
      <w:r>
        <w:t>Board Status | Board Observer</w:t>
      </w:r>
    </w:p>
    <w:p>
      <w:pPr>
        <w:numPr>
          <w:ilvl w:val="0"/>
          <w:numId w:val="2"/>
        </w:numPr>
      </w:pPr>
      <w:r>
        <w:t>Reserved Matters | Major rights sale, IP transfer, acquisition</w:t>
      </w:r>
    </w:p>
    <w:p>
      <w:r>
        <w:rPr>
          <w:b/>
        </w:rPr>
        <w:t>Option B | Revenue Share (If Equity Is Avoided)</w:t>
      </w:r>
    </w:p>
    <w:p>
      <w:pPr>
        <w:numPr>
          <w:ilvl w:val="0"/>
          <w:numId w:val="2"/>
        </w:numPr>
      </w:pPr>
      <w:r>
        <w:t>Revenue Share | 15 percent</w:t>
      </w:r>
    </w:p>
    <w:p>
      <w:pPr>
        <w:numPr>
          <w:ilvl w:val="0"/>
          <w:numId w:val="2"/>
        </w:numPr>
      </w:pPr>
      <w:r>
        <w:t>Term | 5 years</w:t>
      </w:r>
    </w:p>
    <w:p>
      <w:pPr>
        <w:numPr>
          <w:ilvl w:val="0"/>
          <w:numId w:val="2"/>
        </w:numPr>
      </w:pPr>
      <w:r>
        <w:t>Applies To | Sponsorship revenue, Licensing revenue, Broadcast revenue</w:t>
      </w:r>
    </w:p>
    <w:p>
      <w:pPr>
        <w:numPr>
          <w:ilvl w:val="0"/>
          <w:numId w:val="2"/>
        </w:numPr>
      </w:pPr>
      <w:r>
        <w:t>Cap | 4x return cap</w:t>
      </w:r>
    </w:p>
    <w:p>
      <w:pPr>
        <w:pStyle w:val="Heading2"/>
      </w:pPr>
      <w:r>
        <w:t>10.3 Founding Partner Privileges</w:t>
      </w:r>
    </w:p>
    <w:p>
      <w:pPr>
        <w:numPr>
          <w:ilvl w:val="0"/>
          <w:numId w:val="2"/>
        </w:numPr>
      </w:pPr>
      <w:r>
        <w:t>Founding Partner designation (permanent)</w:t>
      </w:r>
    </w:p>
    <w:p>
      <w:pPr>
        <w:numPr>
          <w:ilvl w:val="0"/>
          <w:numId w:val="2"/>
        </w:numPr>
      </w:pPr>
      <w:r>
        <w:t>Priority access to startup pipeline</w:t>
      </w:r>
    </w:p>
    <w:p>
      <w:pPr>
        <w:numPr>
          <w:ilvl w:val="0"/>
          <w:numId w:val="2"/>
        </w:numPr>
      </w:pPr>
      <w:r>
        <w:t>First refusal on: GCC continental sponsorship, Regional hosting rights</w:t>
      </w:r>
    </w:p>
    <w:p>
      <w:pPr>
        <w:numPr>
          <w:ilvl w:val="0"/>
          <w:numId w:val="2"/>
        </w:numPr>
      </w:pPr>
      <w:r>
        <w:t>Speaking and branding rights at global finals</w:t>
      </w:r>
    </w:p>
    <w:p>
      <w:pPr>
        <w:numPr>
          <w:ilvl w:val="0"/>
          <w:numId w:val="2"/>
        </w:numPr>
      </w:pPr>
      <w:r>
        <w:t>Advisory participation in strategy councils</w:t>
      </w:r>
    </w:p>
    <w:p>
      <w:pPr>
        <w:pStyle w:val="Heading2"/>
      </w:pPr>
      <w:r>
        <w:t>10.4 Exit and Liquidity</w:t>
      </w:r>
    </w:p>
    <w:p>
      <w:pPr>
        <w:numPr>
          <w:ilvl w:val="0"/>
          <w:numId w:val="2"/>
        </w:numPr>
      </w:pPr>
      <w:r>
        <w:t>Buyback option after Year 3 at fair market value</w:t>
      </w:r>
    </w:p>
    <w:p>
      <w:pPr>
        <w:numPr>
          <w:ilvl w:val="0"/>
          <w:numId w:val="2"/>
        </w:numPr>
      </w:pPr>
      <w:r>
        <w:t>Tag-along rights on sale</w:t>
      </w:r>
    </w:p>
    <w:p>
      <w:pPr>
        <w:numPr>
          <w:ilvl w:val="0"/>
          <w:numId w:val="2"/>
        </w:numPr>
      </w:pPr>
      <w:r>
        <w:t>Strategic acquisition protection clause</w:t>
      </w:r>
    </w:p>
    <w:p>
      <w:r>
        <w:br w:type="page"/>
      </w:r>
    </w:p>
    <w:p>
      <w:pPr>
        <w:pStyle w:val="Heading1"/>
      </w:pPr>
      <w:bookmarkStart w:name="_Toc011" w:id="011"/>
      <w:r>
        <w:t>11. 5-Year Expansion Vision</w:t>
      </w:r>
      <w:bookmarkEnd w:id="011"/>
    </w:p>
    <w:p>
      <w:r>
        <w:t>Global AI Olympiad is designed to become the world's most prestigious, inclusive, and scalable AI competition platform, headquartered in London and operating globally.</w:t>
      </w:r>
    </w:p>
    <w:p>
      <w:pPr>
        <w:pStyle w:val="Heading2"/>
      </w:pPr>
      <w:r>
        <w:t>Year 1: Global AI Olympiad Launch</w:t>
      </w:r>
    </w:p>
    <w:p>
      <w:pPr>
        <w:numPr>
          <w:ilvl w:val="0"/>
          <w:numId w:val="2"/>
        </w:numPr>
      </w:pPr>
      <w:r>
        <w:t>30 countries participating</w:t>
      </w:r>
    </w:p>
    <w:p>
      <w:pPr>
        <w:numPr>
          <w:ilvl w:val="0"/>
          <w:numId w:val="2"/>
        </w:numPr>
      </w:pPr>
      <w:r>
        <w:t>Fully virtual scale with regional coordination</w:t>
      </w:r>
    </w:p>
    <w:p>
      <w:pPr>
        <w:numPr>
          <w:ilvl w:val="0"/>
          <w:numId w:val="2"/>
        </w:numPr>
      </w:pPr>
      <w:r>
        <w:t>London Grand Finale with enhanced production</w:t>
      </w:r>
    </w:p>
    <w:p>
      <w:pPr>
        <w:numPr>
          <w:ilvl w:val="0"/>
          <w:numId w:val="2"/>
        </w:numPr>
      </w:pPr>
      <w:r>
        <w:t>Establish global credibility</w:t>
      </w:r>
    </w:p>
    <w:p>
      <w:r>
        <w:rPr>
          <w:b/>
        </w:rPr>
        <w:t>Primary Goal: Brand + proof</w:t>
      </w:r>
    </w:p>
    <w:p>
      <w:r>
        <w:rPr>
          <w:b/>
        </w:rPr>
        <w:t>Revenue Target: GBP 1.0M+</w:t>
      </w:r>
    </w:p>
    <w:p>
      <w:pPr>
        <w:pStyle w:val="Heading2"/>
      </w:pPr>
      <w:r>
        <w:t>Year 2: Global AI Olympiad + AI Fellowship</w:t>
      </w:r>
    </w:p>
    <w:p>
      <w:pPr>
        <w:numPr>
          <w:ilvl w:val="0"/>
          <w:numId w:val="2"/>
        </w:numPr>
      </w:pPr>
      <w:r>
        <w:t>Annual Olympiad becomes permanent fixture</w:t>
      </w:r>
    </w:p>
    <w:p>
      <w:pPr>
        <w:numPr>
          <w:ilvl w:val="0"/>
          <w:numId w:val="2"/>
        </w:numPr>
      </w:pPr>
      <w:r>
        <w:t>Top talent enters AI Fellowship Program</w:t>
      </w:r>
    </w:p>
    <w:p>
      <w:pPr>
        <w:numPr>
          <w:ilvl w:val="0"/>
          <w:numId w:val="2"/>
        </w:numPr>
      </w:pPr>
      <w:r>
        <w:t>Industry-sponsored challenges introduced</w:t>
      </w:r>
    </w:p>
    <w:p>
      <w:r>
        <w:rPr>
          <w:b/>
        </w:rPr>
        <w:t>Revenue Target: GBP 2.5M+</w:t>
      </w:r>
    </w:p>
    <w:p>
      <w:pPr>
        <w:pStyle w:val="Heading2"/>
      </w:pPr>
      <w:r>
        <w:t>Year 3: AI Innovation &amp; Research Institute</w:t>
      </w:r>
    </w:p>
    <w:p>
      <w:pPr>
        <w:numPr>
          <w:ilvl w:val="0"/>
          <w:numId w:val="2"/>
        </w:numPr>
      </w:pPr>
      <w:r>
        <w:t>Launch Global AI Institute</w:t>
      </w:r>
    </w:p>
    <w:p>
      <w:pPr>
        <w:numPr>
          <w:ilvl w:val="0"/>
          <w:numId w:val="2"/>
        </w:numPr>
      </w:pPr>
      <w:r>
        <w:t>Focus on: Applied AI, Ethics &amp; governance, AI for emerging economies</w:t>
      </w:r>
    </w:p>
    <w:p>
      <w:pPr>
        <w:numPr>
          <w:ilvl w:val="0"/>
          <w:numId w:val="2"/>
        </w:numPr>
      </w:pPr>
      <w:r>
        <w:t>Partner with universities &amp; governments</w:t>
      </w:r>
    </w:p>
    <w:p>
      <w:r>
        <w:rPr>
          <w:b/>
        </w:rPr>
        <w:t>Revenue Target: GBP 5.0M+</w:t>
      </w:r>
    </w:p>
    <w:p>
      <w:pPr>
        <w:pStyle w:val="Heading2"/>
      </w:pPr>
      <w:r>
        <w:t>Year 4: AI Business Hub &amp; Startup Accelerator</w:t>
      </w:r>
    </w:p>
    <w:p>
      <w:pPr>
        <w:numPr>
          <w:ilvl w:val="0"/>
          <w:numId w:val="2"/>
        </w:numPr>
      </w:pPr>
      <w:r>
        <w:t>Startup incubation &amp; acceleration</w:t>
      </w:r>
    </w:p>
    <w:p>
      <w:pPr>
        <w:numPr>
          <w:ilvl w:val="0"/>
          <w:numId w:val="2"/>
        </w:numPr>
      </w:pPr>
      <w:r>
        <w:t>Equity-based participation</w:t>
      </w:r>
    </w:p>
    <w:p>
      <w:pPr>
        <w:numPr>
          <w:ilvl w:val="0"/>
          <w:numId w:val="2"/>
        </w:numPr>
      </w:pPr>
      <w:r>
        <w:t>Corporate-backed innovation labs</w:t>
      </w:r>
    </w:p>
    <w:p>
      <w:r>
        <w:rPr>
          <w:b/>
        </w:rPr>
        <w:t>Revenue Target: GBP 8.0M+</w:t>
      </w:r>
    </w:p>
    <w:p>
      <w:pPr>
        <w:pStyle w:val="Heading2"/>
      </w:pPr>
      <w:r>
        <w:t>Year 5: Global AI Ecosystem Platform</w:t>
      </w:r>
    </w:p>
    <w:p>
      <w:pPr>
        <w:numPr>
          <w:ilvl w:val="0"/>
          <w:numId w:val="2"/>
        </w:numPr>
      </w:pPr>
      <w:r>
        <w:t>Annual Olympiad + media rights</w:t>
      </w:r>
    </w:p>
    <w:p>
      <w:pPr>
        <w:numPr>
          <w:ilvl w:val="0"/>
          <w:numId w:val="2"/>
        </w:numPr>
      </w:pPr>
      <w:r>
        <w:t>AI Institute &amp; Research Labs</w:t>
      </w:r>
    </w:p>
    <w:p>
      <w:pPr>
        <w:numPr>
          <w:ilvl w:val="0"/>
          <w:numId w:val="2"/>
        </w:numPr>
      </w:pPr>
      <w:r>
        <w:t>Startup equity portfolio</w:t>
      </w:r>
    </w:p>
    <w:p>
      <w:pPr>
        <w:numPr>
          <w:ilvl w:val="0"/>
          <w:numId w:val="2"/>
        </w:numPr>
      </w:pPr>
      <w:r>
        <w:t>Policy advisory &amp; consulting</w:t>
      </w:r>
    </w:p>
    <w:p>
      <w:pPr>
        <w:numPr>
          <w:ilvl w:val="0"/>
          <w:numId w:val="2"/>
        </w:numPr>
      </w:pPr>
      <w:r>
        <w:t>Global chapters across all regions</w:t>
      </w:r>
    </w:p>
    <w:p>
      <w:r>
        <w:rPr>
          <w:b/>
        </w:rPr>
        <w:t>Revenue Target: GBP 12M+</w:t>
      </w:r>
    </w:p>
    <w:p>
      <w:pPr>
        <w:sectPr>
          <w:headerReference w:type="default" r:id="R9b756ec797974ce3"/>
          <w:footerReference w:type="default" r:id="R0bfbd59511a54359"/>
          <w:type w:val="nextPage"/>
          <w:pgSz w:w="11906" w:h="16838"/>
          <w:pgMar w:top="1800" w:right="1440" w:bottom="1440" w:left="1440" w:header="720" w:footer="720"/>
        </w:sectPr>
      </w:pPr>
    </w:p>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3" name="BackcoverBackground"/>
            <wp:cNvGraphicFramePr>
              <a:graphicFrameLocks noChangeAspect="1"/>
            </wp:cNvGraphicFramePr>
            <a:graphic>
              <a:graphicData uri="http://schemas.openxmlformats.org/drawingml/2006/picture">
                <pic:pic>
                  <pic:nvPicPr>
                    <pic:cNvPr id="0" name="BackcoverBackground.png"/>
                    <pic:cNvPicPr/>
                  </pic:nvPicPr>
                  <pic:blipFill>
                    <a:blip r:embed="R3e0f79ed9bdf4be5"/>
                    <a:stretch>
                      <a:fillRect/>
                    </a:stretch>
                  </pic:blipFill>
                  <pic:spPr>
                    <a:xfrm>
                      <a:off x="0" y="0"/>
                      <a:ext cx="7560000" cy="10692000"/>
                    </a:xfrm>
                    <a:prstGeom prst="rect"/>
                  </pic:spPr>
                </pic:pic>
              </a:graphicData>
            </a:graphic>
          </wp:anchor>
        </w:drawing>
      </w:r>
    </w:p>
    <w:p>
      <w:pPr>
        <w:spacing w:before="7000"/>
      </w:pPr>
      <w:r/>
    </w:p>
    <w:p>
      <w:pPr>
        <w:spacing w:after="400"/>
        <w:jc w:val="center"/>
      </w:pPr>
      <w:r>
        <w:rPr>
          <w:b/>
          <w:color w:val="FFFFFF"/>
          <w:sz w:val="40"/>
        </w:rPr>
        <w:t>Global AI Olympiad</w:t>
      </w:r>
    </w:p>
    <w:p>
      <w:pPr>
        <w:spacing w:after="600"/>
        <w:jc w:val="center"/>
      </w:pPr>
      <w:r>
        <w:rPr>
          <w:color w:val="63b3ed"/>
          <w:sz w:val="22"/>
        </w:rPr>
        <w:t>Shaping the Next Generation of AI Leaders</w:t>
      </w:r>
    </w:p>
    <w:p>
      <w:pPr>
        <w:spacing w:after="200"/>
        <w:jc w:val="center"/>
      </w:pPr>
      <w:r>
        <w:rPr>
          <w:color w:val="a0aec0"/>
          <w:sz w:val="18"/>
        </w:rPr>
        <w:t>contact@globalaiolympiad.org</w:t>
      </w:r>
    </w:p>
    <w:p>
      <w:pPr>
        <w:jc w:val="center"/>
      </w:pPr>
      <w:r>
        <w:rPr>
          <w:color w:val="718096"/>
          <w:sz w:val="16"/>
        </w:rPr>
        <w:t>© 2026 Global AI Olympiad Ltd. All rights reserved.</w:t>
      </w:r>
    </w:p>
    <w:sectPr>
      <w:pgSz w:w="11906" w:h="16838"/>
      <w:pgMar w:top="0" w:right="0" w:bottom="0" w:left="0" w:header="0" w:footer="0"/>
    </w:sectPr>
  </w:body>
</w:document>
</file>

<file path=word/footer1.xml><?xml version="1.0" encoding="utf-8"?>
<w:ftr xmlns:w="http://schemas.openxmlformats.org/wordprocessingml/2006/main">
  <w:p>
    <w:pPr>
      <w:jc w:val="center"/>
    </w:pPr>
    <w:r>
      <w:fldChar w:fldCharType="begin"/>
      <w:instrText xml:space="preserve"> PAGE </w:instrText>
      <w:fldChar w:fldCharType="separate"/>
      <w:t>1</w:t>
      <w:fldChar w:fldCharType="end"/>
    </w:r>
    <w:r>
      <w:t xml:space="preserve"> / </w:t>
    </w:r>
    <w:r>
      <w:fldChar w:fldCharType="begin"/>
      <w:instrText xml:space="preserve"> NUMPAGES </w:instrText>
      <w:fldChar w:fldCharType="separate"/>
      <w:t>1</w:t>
      <w:fldChar w:fldCharType="end"/>
    </w:r>
  </w:p>
</w:ftr>
</file>

<file path=word/header1.xml><?xml version="1.0" encoding="utf-8"?>
<w:hdr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2" name="BodyBackground"/>
          <wp:cNvGraphicFramePr>
            <a:graphicFrameLocks noChangeAspect="1"/>
          </wp:cNvGraphicFramePr>
          <a:graphic>
            <a:graphicData uri="http://schemas.openxmlformats.org/drawingml/2006/picture">
              <pic:pic>
                <pic:nvPicPr>
                  <pic:cNvPr id="0" name="BodyBackground.png"/>
                  <pic:cNvPicPr/>
                </pic:nvPicPr>
                <pic:blipFill>
                  <a:blip r:embed="R238f03d208f046c3"/>
                  <a:stretch>
                    <a:fillRect/>
                  </a:stretch>
                </pic:blipFill>
                <pic:spPr>
                  <a:xfrm>
                    <a:off x="0" y="0"/>
                    <a:ext cx="7560000" cy="10692000"/>
                  </a:xfrm>
                  <a:prstGeom prst="rect"/>
                </pic:spPr>
              </pic:pic>
            </a:graphicData>
          </a:graphic>
        </wp:anchor>
      </w:drawing>
    </w:r>
  </w:p>
  <w:p>
    <w:pPr>
      <w:spacing w:before="0" w:after="0"/>
      <w:jc w:val="right"/>
    </w:pPr>
    <w:r>
      <w:rPr>
        <w:color w:val="718096"/>
        <w:sz w:val="18"/>
      </w:rPr>
      <w:t>Global AI Olympiad</w:t>
    </w:r>
    <w:r>
      <w:rPr>
        <w:color w:val="3182ce"/>
        <w:sz w:val="18"/>
      </w:rPr>
      <w:t xml:space="preserve">  |  </w:t>
    </w:r>
    <w:r>
      <w:rPr>
        <w:color w:val="718096"/>
        <w:sz w:val="18"/>
      </w:rPr>
      <w:t>Investor Profile</w:t>
    </w:r>
  </w:p>
</w:hdr>
</file>

<file path=word/numbering.xml><?xml version="1.0" encoding="utf-8"?>
<w:numbering xmlns:w="http://schemas.openxmlformats.org/wordprocessingml/2006/main">
  <w:abstractNum w:abstractNumId="1">
    <w:lvl w:ilvl="0">
      <w:numFmt w:val="decimal"/>
      <w:lvlText w:val="%1."/>
      <w:lvlJc w:val="left"/>
      <w:pPr>
        <w:ind w:left="720" w:hanging="360"/>
      </w:pPr>
    </w:lvl>
  </w:abstractNum>
  <w:abstractNum w:abstractNumId="2">
    <w:lvl w:ilvl="0">
      <w:numFmt w:val="bullet"/>
      <w:lvlText w:val="•"/>
      <w:lvlJc w:val="left"/>
      <w:pPr>
        <w:ind w:left="720" w:hanging="360"/>
      </w:pPr>
    </w:lvl>
  </w:abstractNum>
  <w:num w:numId="1">
    <w:abstractNumId w:val="1"/>
  </w:num>
  <w:num w:numId="2">
    <w:abstractNumId w:val="2"/>
  </w:num>
</w:numbering>
</file>

<file path=word/settings.xml><?xml version="1.0" encoding="utf-8"?>
<w:settings xmlns:w="http://schemas.openxmlformats.org/wordprocessingml/2006/main">
  <w:displayBackgroundShape/>
  <w:updateFields w:val="true"/>
</w:settings>
</file>

<file path=word/styles.xml><?xml version="1.0" encoding="utf-8"?>
<w:styles xmlns:w="http://schemas.openxmlformats.org/wordprocessingml/2006/main">
  <w:style w:type="paragraph" w:styleId="Normal" w:default="true">
    <w:name w:val="Normal"/>
    <w:pPr>
      <w:spacing w:after="200" w:line="312" w:lineRule="auto"/>
    </w:pPr>
    <w:rPr>
      <w:rFonts w:ascii="Calibri" w:hAnsi="Calibri" w:eastAsia="Microsoft YaHei"/>
      <w:color w:val="1a202c"/>
      <w:sz w:val="22"/>
    </w:rPr>
  </w:style>
  <w:style w:type="paragraph" w:styleId="Heading1">
    <w:name w:val="heading 1"/>
    <w:basedOn w:val="Normal"/>
    <w:pPr>
      <w:keepNext/>
      <w:keepLines/>
      <w:spacing w:before="480" w:after="240" w:line="240" w:lineRule="auto"/>
      <w:outlineLvl w:val="0"/>
    </w:pPr>
    <w:rPr>
      <w:b/>
      <w:color w:val="1a365d"/>
      <w:sz w:val="36"/>
    </w:rPr>
  </w:style>
  <w:style w:type="paragraph" w:styleId="Heading2">
    <w:name w:val="heading 2"/>
    <w:basedOn w:val="Normal"/>
    <w:pPr>
      <w:keepNext/>
      <w:keepLines/>
      <w:spacing w:before="360" w:after="160"/>
      <w:outlineLvl w:val="1"/>
    </w:pPr>
    <w:rPr>
      <w:b/>
      <w:color w:val="2d3748"/>
      <w:sz w:val="28"/>
    </w:rPr>
  </w:style>
  <w:style w:type="paragraph" w:styleId="Heading3">
    <w:name w:val="heading 3"/>
    <w:basedOn w:val="Normal"/>
    <w:pPr>
      <w:keepNext/>
      <w:keepLines/>
      <w:spacing w:before="280" w:after="120"/>
      <w:outlineLvl w:val="2"/>
    </w:pPr>
    <w:rPr>
      <w:b/>
      <w:color w:val="4a5568"/>
      <w:sz w:val="24"/>
    </w:rPr>
  </w:style>
  <w:style w:type="paragraph" w:styleId="Caption">
    <w:name w:val="Caption"/>
    <w:basedOn w:val="Normal"/>
    <w:pPr>
      <w:keepLines/>
      <w:spacing w:before="60" w:after="360"/>
      <w:jc w:val="center"/>
    </w:pPr>
    <w:rPr>
      <w:i/>
      <w:color w:val="4a5568"/>
      <w:sz w:val="20"/>
    </w:rPr>
  </w:style>
  <w:style w:type="paragraph" w:styleId="TOC1">
    <w:name w:val="toc 1"/>
    <w:basedOn w:val="Normal"/>
    <w:pPr>
      <w:tabs>
        <w:tab w:val="right" w:leader="dot" w:pos="9350"/>
      </w:tabs>
      <w:spacing w:before="200" w:after="60"/>
    </w:pPr>
    <w:rPr>
      <w:b/>
      <w:color w:val="1a202c"/>
    </w:rPr>
  </w:style>
  <w:style w:type="paragraph" w:styleId="TOC2">
    <w:name w:val="toc 2"/>
    <w:basedOn w:val="Normal"/>
    <w:pPr>
      <w:tabs>
        <w:tab w:val="right" w:leader="dot" w:pos="9350"/>
      </w:tabs>
      <w:spacing w:before="60" w:after="60"/>
      <w:ind w:left="360"/>
    </w:pPr>
    <w:rPr>
      <w:color w:val="4a5568"/>
    </w:rPr>
  </w:style>
</w:styles>
</file>

<file path=word/_rels/document.xml.rels>&#65279;<?xml version="1.0" encoding="utf-8"?><Relationships xmlns="http://schemas.openxmlformats.org/package/2006/relationships"><Relationship Type="http://schemas.openxmlformats.org/officeDocument/2006/relationships/styles" Target="/word/styles.xml" Id="Rd4163dd5598746f4" /><Relationship Type="http://schemas.openxmlformats.org/officeDocument/2006/relationships/numbering" Target="/word/numbering.xml" Id="Ra2de45db4ac24122" /><Relationship Type="http://schemas.openxmlformats.org/officeDocument/2006/relationships/image" Target="/media/image.png" Id="Rb0792e3ee8a64515" /><Relationship Type="http://schemas.openxmlformats.org/officeDocument/2006/relationships/image" Target="/media/image2.png" Id="Rf0dd0de4e145407a" /><Relationship Type="http://schemas.openxmlformats.org/officeDocument/2006/relationships/image" Target="/media/image3.png" Id="R3e0f79ed9bdf4be5" /><Relationship Type="http://schemas.openxmlformats.org/officeDocument/2006/relationships/header" Target="/word/header1.xml" Id="R9b756ec797974ce3" /><Relationship Type="http://schemas.openxmlformats.org/officeDocument/2006/relationships/footer" Target="/word/footer1.xml" Id="R0bfbd59511a54359" /><Relationship Type="http://schemas.openxmlformats.org/officeDocument/2006/relationships/settings" Target="/word/settings.xml" Id="R63d0394763a04549" /></Relationships>
</file>

<file path=word/_rels/header1.xml.rels>&#65279;<?xml version="1.0" encoding="utf-8"?><Relationships xmlns="http://schemas.openxmlformats.org/package/2006/relationships"><Relationship Type="http://schemas.openxmlformats.org/officeDocument/2006/relationships/image" Target="/media/image4.png" Id="R238f03d208f046c3" /></Relationships>
</file>