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6"/>
        </w:rPr>
        <w:t>RISK ASSESSMENT &amp; MITIGATION MATRIX</w:t>
        <w:br/>
        <w:t>Problem Scenario 3: Campus Network Architecture</w:t>
      </w:r>
    </w:p>
    <w:p>
      <w:r>
        <w:t>The technical, systemic, and environmental risks highlighted below have been assessed for the implementation phase of the University of Cyberia's infrastructure project, along with actionable operational safeguards: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A365D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Risk ID</w:t>
            </w:r>
          </w:p>
        </w:tc>
        <w:tc>
          <w:tcPr>
            <w:tcW w:type="dxa" w:w="3168"/>
            <w:shd w:fill="1A365D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Risk Description</w:t>
            </w:r>
          </w:p>
        </w:tc>
        <w:tc>
          <w:tcPr>
            <w:tcW w:type="dxa" w:w="1296"/>
            <w:shd w:fill="1A365D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1152"/>
            <w:shd w:fill="1A365D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4032"/>
            <w:shd w:fill="1A365D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Mitigation Strategy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9"/>
              </w:rPr>
              <w:t>RSK-01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sz w:val="19"/>
              </w:rPr>
              <w:t>GNS3 standalone instance or underlying VM engine layers crash unexpectedly during deep node configuration.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sz w:val="19"/>
              </w:rPr>
              <w:t>Maintain incremental baseline rollbacks of all configuration files and systematically backup global '.gns3' workspace directories.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9"/>
              </w:rPr>
              <w:t>RSK-02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sz w:val="19"/>
              </w:rPr>
              <w:t>Captive Portal backend page caching or iptables routing rules misfires, lock out standard loopback tracking requests.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sz w:val="19"/>
              </w:rPr>
              <w:t>Isolate DNS hijacking rules and standard web routing parameters in a localized isolated sandbox before running active deployment loops.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9"/>
              </w:rPr>
              <w:t>RSK-03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sz w:val="19"/>
              </w:rPr>
              <w:t>Cisco IOS image layer command mismatches, preventing standard rate limiting or traffic shaping features from initializing.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9"/>
              </w:rPr>
              <w:t>Low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sz w:val="19"/>
              </w:rPr>
              <w:t>Standardize CLI templates matching specific active c7200 modules, using matching class-maps or access policy structures.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9"/>
              </w:rPr>
              <w:t>RSK-04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sz w:val="19"/>
              </w:rPr>
              <w:t>Git version tree merge conflicts or directory asset deletion caused by simultaneous synchronization loops by distinct members.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sz w:val="19"/>
              </w:rPr>
              <w:t>Medium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sz w:val="19"/>
              </w:rPr>
              <w:t>Enforce centralized git deployment pipelines where Ali Kashan acts as the singular Gatekeeper executing final branches integration.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